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pPr>
      <w:r>
        <w:rPr/>
        <mc:AlternateContent>
          <mc:Choice Requires="wps">
            <w:drawing>
              <wp:anchor distT="0" distB="0" distL="0" distR="0" allowOverlap="1" layoutInCell="1" locked="0" behindDoc="0" simplePos="0" relativeHeight="15728640">
                <wp:simplePos x="0" y="0"/>
                <wp:positionH relativeFrom="page">
                  <wp:posOffset>309245</wp:posOffset>
                </wp:positionH>
                <wp:positionV relativeFrom="page">
                  <wp:posOffset>3308222</wp:posOffset>
                </wp:positionV>
                <wp:extent cx="1270" cy="1999614"/>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999614"/>
                        </a:xfrm>
                        <a:custGeom>
                          <a:avLst/>
                          <a:gdLst/>
                          <a:ahLst/>
                          <a:cxnLst/>
                          <a:rect l="l" t="t" r="r" b="b"/>
                          <a:pathLst>
                            <a:path w="0" h="1999614">
                              <a:moveTo>
                                <a:pt x="0" y="1999107"/>
                              </a:moveTo>
                              <a:lnTo>
                                <a:pt x="0" y="0"/>
                              </a:lnTo>
                            </a:path>
                          </a:pathLst>
                        </a:custGeom>
                        <a:ln w="6773">
                          <a:solidFill>
                            <a:srgbClr val="0000F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28640" from="24.35pt,417.89999pt" to="24.35pt,260.489990pt" stroked="true" strokeweight=".53333pt" strokecolor="#0000ff">
                <v:stroke dashstyle="solid"/>
                <w10:wrap type="none"/>
              </v:line>
            </w:pict>
          </mc:Fallback>
        </mc:AlternateContent>
      </w:r>
      <w:r>
        <w:rPr/>
        <mc:AlternateContent>
          <mc:Choice Requires="wps">
            <w:drawing>
              <wp:anchor distT="0" distB="0" distL="0" distR="0" allowOverlap="1" layoutInCell="1" locked="0" behindDoc="0" simplePos="0" relativeHeight="15729152">
                <wp:simplePos x="0" y="0"/>
                <wp:positionH relativeFrom="page">
                  <wp:posOffset>7592</wp:posOffset>
                </wp:positionH>
                <wp:positionV relativeFrom="page">
                  <wp:posOffset>1901502</wp:posOffset>
                </wp:positionV>
                <wp:extent cx="302260" cy="739394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02260" cy="7393940"/>
                        </a:xfrm>
                        <a:prstGeom prst="rect">
                          <a:avLst/>
                        </a:prstGeom>
                      </wps:spPr>
                      <wps:txbx>
                        <w:txbxContent>
                          <w:p>
                            <w:pPr>
                              <w:spacing w:before="14"/>
                              <w:ind w:left="20" w:right="0" w:firstLine="0"/>
                              <w:jc w:val="left"/>
                              <w:rPr>
                                <w:rFonts w:ascii="Arial MT" w:hAnsi="Arial MT"/>
                                <w:sz w:val="16"/>
                              </w:rPr>
                            </w:pPr>
                            <w:r>
                              <w:rPr>
                                <w:rFonts w:ascii="Arial MT" w:hAnsi="Arial MT"/>
                                <w:sz w:val="16"/>
                              </w:rPr>
                              <w:t>Ayuntamiento de Tías - Nº de registro del : - CSV: 16340776230733166363 Esta es una copia auténtica de documento original electrónico según la Ley 39/2015 </w:t>
                            </w:r>
                            <w:r>
                              <w:rPr>
                                <w:rFonts w:ascii="Arial MT" w:hAnsi="Arial MT"/>
                                <w:spacing w:val="-5"/>
                                <w:sz w:val="16"/>
                              </w:rPr>
                              <w:t>de</w:t>
                            </w:r>
                          </w:p>
                          <w:p>
                            <w:pPr>
                              <w:spacing w:before="73"/>
                              <w:ind w:left="20" w:right="0" w:firstLine="0"/>
                              <w:jc w:val="left"/>
                              <w:rPr>
                                <w:rFonts w:ascii="Arial MT" w:hAnsi="Arial MT"/>
                                <w:sz w:val="16"/>
                              </w:rPr>
                            </w:pPr>
                            <w:r>
                              <w:rPr>
                                <w:rFonts w:ascii="Arial MT" w:hAnsi="Arial MT"/>
                                <w:sz w:val="16"/>
                              </w:rPr>
                              <w:t>Procedimiento Administrativo Común Electrónico. Puede comprobar su autenticidad en: </w:t>
                            </w:r>
                            <w:hyperlink r:id="rId7">
                              <w:r>
                                <w:rPr>
                                  <w:rFonts w:ascii="Arial MT" w:hAnsi="Arial MT"/>
                                  <w:color w:val="0000FF"/>
                                  <w:spacing w:val="-2"/>
                                  <w:sz w:val="16"/>
                                </w:rPr>
                                <w:t>http://sede.ayuntamientodetias.es/validacion</w:t>
                              </w:r>
                            </w:hyperlink>
                          </w:p>
                        </w:txbxContent>
                      </wps:txbx>
                      <wps:bodyPr wrap="square" lIns="0" tIns="0" rIns="0" bIns="0" rtlCol="0" vert="vert270">
                        <a:noAutofit/>
                      </wps:bodyPr>
                    </wps:wsp>
                  </a:graphicData>
                </a:graphic>
              </wp:anchor>
            </w:drawing>
          </mc:Choice>
          <mc:Fallback>
            <w:pict>
              <v:shape style="position:absolute;margin-left:.597812pt;margin-top:149.72464pt;width:23.8pt;height:582.2pt;mso-position-horizontal-relative:page;mso-position-vertical-relative:page;z-index:15729152" type="#_x0000_t202" id="docshape3" filled="false" stroked="false">
                <v:textbox inset="0,0,0,0" style="layout-flow:vertical;mso-layout-flow-alt:bottom-to-top">
                  <w:txbxContent>
                    <w:p>
                      <w:pPr>
                        <w:spacing w:before="14"/>
                        <w:ind w:left="20" w:right="0" w:firstLine="0"/>
                        <w:jc w:val="left"/>
                        <w:rPr>
                          <w:rFonts w:ascii="Arial MT" w:hAnsi="Arial MT"/>
                          <w:sz w:val="16"/>
                        </w:rPr>
                      </w:pPr>
                      <w:r>
                        <w:rPr>
                          <w:rFonts w:ascii="Arial MT" w:hAnsi="Arial MT"/>
                          <w:sz w:val="16"/>
                        </w:rPr>
                        <w:t>Ayuntamiento de Tías - Nº de registro del : - CSV: 16340776230733166363 Esta es una copia auténtica de documento original electrónico según la Ley 39/2015 </w:t>
                      </w:r>
                      <w:r>
                        <w:rPr>
                          <w:rFonts w:ascii="Arial MT" w:hAnsi="Arial MT"/>
                          <w:spacing w:val="-5"/>
                          <w:sz w:val="16"/>
                        </w:rPr>
                        <w:t>de</w:t>
                      </w:r>
                    </w:p>
                    <w:p>
                      <w:pPr>
                        <w:spacing w:before="73"/>
                        <w:ind w:left="20" w:right="0" w:firstLine="0"/>
                        <w:jc w:val="left"/>
                        <w:rPr>
                          <w:rFonts w:ascii="Arial MT" w:hAnsi="Arial MT"/>
                          <w:sz w:val="16"/>
                        </w:rPr>
                      </w:pPr>
                      <w:r>
                        <w:rPr>
                          <w:rFonts w:ascii="Arial MT" w:hAnsi="Arial MT"/>
                          <w:sz w:val="16"/>
                        </w:rPr>
                        <w:t>Procedimiento Administrativo Común Electrónico. Puede comprobar su autenticidad en: </w:t>
                      </w:r>
                      <w:hyperlink r:id="rId7">
                        <w:r>
                          <w:rPr>
                            <w:rFonts w:ascii="Arial MT" w:hAnsi="Arial MT"/>
                            <w:color w:val="0000FF"/>
                            <w:spacing w:val="-2"/>
                            <w:sz w:val="16"/>
                          </w:rPr>
                          <w:t>http://sede.ayuntamientodetias.es/validacion</w:t>
                        </w:r>
                      </w:hyperlink>
                    </w:p>
                  </w:txbxContent>
                </v:textbox>
                <w10:wrap type="none"/>
              </v:shape>
            </w:pict>
          </mc:Fallback>
        </mc:AlternateContent>
      </w:r>
    </w:p>
    <w:p>
      <w:pPr>
        <w:pStyle w:val="BodyText"/>
        <w:spacing w:before="269"/>
      </w:pPr>
    </w:p>
    <w:p>
      <w:pPr>
        <w:pStyle w:val="Heading1"/>
        <w:rPr>
          <w:u w:val="none"/>
        </w:rPr>
      </w:pPr>
      <w:r>
        <w:rPr>
          <w:u w:val="single"/>
        </w:rPr>
        <w:t>PLAN DE COMPROBACIÓN Y CONTROL DE TODAS LAS VIVIENDAS</w:t>
      </w:r>
      <w:r>
        <w:rPr>
          <w:u w:val="none"/>
        </w:rPr>
        <w:t> </w:t>
      </w:r>
      <w:r>
        <w:rPr>
          <w:u w:val="single"/>
        </w:rPr>
        <w:t>VACACIONALES EXISTENTES EN TÍAS EN MATERIA DE ACTIVIDADES</w:t>
      </w:r>
      <w:r>
        <w:rPr>
          <w:u w:val="none"/>
        </w:rPr>
        <w:t> </w:t>
      </w:r>
      <w:r>
        <w:rPr>
          <w:u w:val="single"/>
        </w:rPr>
        <w:t>CLASIFICADAS, CONFORME A LA RELACIÓN FACILITADA POR LA</w:t>
      </w:r>
      <w:r>
        <w:rPr>
          <w:u w:val="none"/>
        </w:rPr>
        <w:t> </w:t>
      </w:r>
      <w:r>
        <w:rPr>
          <w:u w:val="single"/>
        </w:rPr>
        <w:t>CONSEJERÍA COMPETENTE EN MATERIA DE TURISMO DEL GOBIERNO DE</w:t>
      </w:r>
      <w:r>
        <w:rPr>
          <w:u w:val="none"/>
        </w:rPr>
        <w:t> </w:t>
      </w:r>
      <w:r>
        <w:rPr>
          <w:spacing w:val="-2"/>
          <w:u w:val="single"/>
        </w:rPr>
        <w:t>CANARIAS.</w:t>
      </w:r>
    </w:p>
    <w:p>
      <w:pPr>
        <w:pStyle w:val="BodyText"/>
        <w:rPr>
          <w:b/>
        </w:rPr>
      </w:pPr>
    </w:p>
    <w:p>
      <w:pPr>
        <w:pStyle w:val="BodyText"/>
        <w:rPr>
          <w:b/>
        </w:rPr>
      </w:pPr>
    </w:p>
    <w:p>
      <w:pPr>
        <w:pStyle w:val="Heading2"/>
        <w:jc w:val="left"/>
        <w:rPr>
          <w:u w:val="none"/>
        </w:rPr>
      </w:pPr>
      <w:r>
        <w:rPr>
          <w:u w:val="single"/>
        </w:rPr>
        <w:t>1.-</w:t>
      </w:r>
      <w:r>
        <w:rPr>
          <w:spacing w:val="-1"/>
          <w:u w:val="single"/>
        </w:rPr>
        <w:t> </w:t>
      </w:r>
      <w:r>
        <w:rPr>
          <w:spacing w:val="-2"/>
          <w:u w:val="single"/>
        </w:rPr>
        <w:t>FUNDAMENTACIÓN.</w:t>
      </w:r>
    </w:p>
    <w:p>
      <w:pPr>
        <w:pStyle w:val="BodyText"/>
      </w:pPr>
    </w:p>
    <w:p>
      <w:pPr>
        <w:pStyle w:val="BodyText"/>
        <w:ind w:left="141" w:right="141"/>
        <w:jc w:val="both"/>
      </w:pPr>
      <w:r>
        <w:rPr/>
        <w:t>El </w:t>
      </w:r>
      <w:r>
        <w:rPr>
          <w:rFonts w:ascii="Georgia" w:hAnsi="Georgia"/>
        </w:rPr>
        <w:t>p</w:t>
      </w:r>
      <w:r>
        <w:rPr/>
        <w:t>r</w:t>
      </w:r>
      <w:r>
        <w:rPr>
          <w:rFonts w:ascii="Georgia" w:hAnsi="Georgia"/>
        </w:rPr>
        <w:t>e</w:t>
      </w:r>
      <w:r>
        <w:rPr/>
        <w:t>sente plan se </w:t>
      </w:r>
      <w:r>
        <w:rPr>
          <w:rFonts w:ascii="Georgia" w:hAnsi="Georgia"/>
        </w:rPr>
        <w:t>re</w:t>
      </w:r>
      <w:r>
        <w:rPr/>
        <w:t>dacta al amparo de la Ley 6/2025, de die</w:t>
      </w:r>
      <w:r>
        <w:rPr>
          <w:rFonts w:ascii="Georgia" w:hAnsi="Georgia"/>
        </w:rPr>
        <w:t>z </w:t>
      </w:r>
      <w:r>
        <w:rPr/>
        <w:t>de diciembre, de Ordenación Sostenible del Uso Turístico de Viviendas,</w:t>
      </w:r>
      <w:r>
        <w:rPr>
          <w:rFonts w:ascii="Georgia" w:hAnsi="Georgia"/>
        </w:rPr>
        <w:t>- </w:t>
      </w:r>
      <w:r>
        <w:rPr/>
        <w:t>en concreto de su Disposición adicional segunda. Del ejercicio de las potestades administrativas de comprobación, inspección y control.</w:t>
      </w:r>
    </w:p>
    <w:p>
      <w:pPr>
        <w:pStyle w:val="BodyText"/>
        <w:spacing w:before="275"/>
        <w:ind w:left="141" w:right="142"/>
        <w:jc w:val="both"/>
      </w:pPr>
      <w:r>
        <w:rPr/>
        <w:t>…“2. En el plazo máximo de ocho meses contados a partir de la entrada en vigor de la presente ley, los ay</w:t>
      </w:r>
      <w:r>
        <w:rPr>
          <w:rFonts w:ascii="Georgia" w:hAnsi="Georgia"/>
        </w:rPr>
        <w:t>u</w:t>
      </w:r>
      <w:r>
        <w:rPr/>
        <w:t>n</w:t>
      </w:r>
      <w:r>
        <w:rPr>
          <w:rFonts w:ascii="Georgia" w:hAnsi="Georgia"/>
        </w:rPr>
        <w:t>t</w:t>
      </w:r>
      <w:r>
        <w:rPr/>
        <w:t>amientos co</w:t>
      </w:r>
      <w:r>
        <w:rPr>
          <w:rFonts w:ascii="Georgia" w:hAnsi="Georgia"/>
        </w:rPr>
        <w:t>r</w:t>
      </w:r>
      <w:r>
        <w:rPr/>
        <w:t>respond</w:t>
      </w:r>
      <w:r>
        <w:rPr>
          <w:rFonts w:ascii="Georgia" w:hAnsi="Georgia"/>
        </w:rPr>
        <w:t>i</w:t>
      </w:r>
      <w:r>
        <w:rPr/>
        <w:t>entes deberán haber aprobado y comenzado a ap</w:t>
      </w:r>
      <w:r>
        <w:rPr>
          <w:rFonts w:ascii="Georgia" w:hAnsi="Georgia"/>
        </w:rPr>
        <w:t>l</w:t>
      </w:r>
      <w:r>
        <w:rPr/>
        <w:t>icar un p</w:t>
      </w:r>
      <w:r>
        <w:rPr>
          <w:rFonts w:ascii="Georgia" w:hAnsi="Georgia"/>
        </w:rPr>
        <w:t>la</w:t>
      </w:r>
      <w:r>
        <w:rPr/>
        <w:t>n de comprobación y control de todas las viviendas vacacionales existentes en sus términos municipales en materia de actividades clasificadas, conforme a la relación facilitada por la consejería competente en materia de turismo del Gobierno de Canarias. Plan cuya duración no deberá exceder de cuatro años e incluirá también las oportunas actuaciones de inspección de aquellas viviendas vacacionales que, conforme a los criterios determinados en el citado plan, el ayuntamiento considere</w:t>
      </w:r>
      <w:r>
        <w:rPr>
          <w:spacing w:val="-1"/>
        </w:rPr>
        <w:t> </w:t>
      </w:r>
      <w:r>
        <w:rPr/>
        <w:t>que deben ser</w:t>
      </w:r>
      <w:r>
        <w:rPr>
          <w:spacing w:val="-1"/>
        </w:rPr>
        <w:t> </w:t>
      </w:r>
      <w:r>
        <w:rPr/>
        <w:t>objeto de</w:t>
      </w:r>
      <w:r>
        <w:rPr>
          <w:spacing w:val="-1"/>
        </w:rPr>
        <w:t> </w:t>
      </w:r>
      <w:r>
        <w:rPr/>
        <w:t>la</w:t>
      </w:r>
      <w:r>
        <w:rPr>
          <w:spacing w:val="-1"/>
        </w:rPr>
        <w:t> </w:t>
      </w:r>
      <w:r>
        <w:rPr/>
        <w:t>misma</w:t>
      </w:r>
      <w:r>
        <w:rPr>
          <w:spacing w:val="-1"/>
        </w:rPr>
        <w:t> </w:t>
      </w:r>
      <w:r>
        <w:rPr/>
        <w:t>por</w:t>
      </w:r>
      <w:r>
        <w:rPr>
          <w:spacing w:val="-1"/>
        </w:rPr>
        <w:t> </w:t>
      </w:r>
      <w:r>
        <w:rPr/>
        <w:t>los indicios de riesgo o de irregularidades advertidos y comunicados por quienes sean agentes de la autoridad en ejercicio de sus funciones.</w:t>
      </w:r>
    </w:p>
    <w:p>
      <w:pPr>
        <w:pStyle w:val="BodyText"/>
        <w:spacing w:before="2"/>
        <w:ind w:left="141" w:right="146"/>
        <w:jc w:val="both"/>
      </w:pPr>
      <w:r>
        <w:rPr/>
        <w:t>Una vez aprobado el citado plan se remitirá copia al cabildo insular correspondiente y a la consejería competente en materia de turismo del Gobierno de Canarias.</w:t>
      </w:r>
    </w:p>
    <w:p>
      <w:pPr>
        <w:pStyle w:val="BodyText"/>
        <w:ind w:left="141" w:right="145"/>
        <w:jc w:val="both"/>
      </w:pPr>
      <w:r>
        <w:rPr/>
        <w:t>Dentro de los dos meses siguientes a la conclusión de la vigencia del plan, se presentará una memoria que evalúe los resultados alcanzados, de la que se remitirá copia al cabildo insular correspondiente y a la consejería competente en materia de turismo del Gobierno de </w:t>
      </w:r>
      <w:r>
        <w:rPr>
          <w:spacing w:val="-2"/>
        </w:rPr>
        <w:t>Canarias.”…</w:t>
      </w:r>
    </w:p>
    <w:p>
      <w:pPr>
        <w:pStyle w:val="BodyText"/>
      </w:pPr>
    </w:p>
    <w:p>
      <w:pPr>
        <w:pStyle w:val="BodyText"/>
      </w:pPr>
    </w:p>
    <w:p>
      <w:pPr>
        <w:pStyle w:val="Heading2"/>
        <w:rPr>
          <w:u w:val="none"/>
        </w:rPr>
      </w:pPr>
      <w:r>
        <w:rPr>
          <w:u w:val="single"/>
        </w:rPr>
        <w:t>2.-</w:t>
      </w:r>
      <w:r>
        <w:rPr>
          <w:spacing w:val="-1"/>
          <w:u w:val="single"/>
        </w:rPr>
        <w:t> </w:t>
      </w:r>
      <w:r>
        <w:rPr>
          <w:spacing w:val="-2"/>
          <w:u w:val="single"/>
        </w:rPr>
        <w:t>NATURALEZA.</w:t>
      </w:r>
    </w:p>
    <w:p>
      <w:pPr>
        <w:pStyle w:val="BodyText"/>
      </w:pPr>
    </w:p>
    <w:p>
      <w:pPr>
        <w:pStyle w:val="BodyText"/>
        <w:spacing w:before="1"/>
        <w:ind w:left="141"/>
      </w:pPr>
      <w:r>
        <w:rPr/>
        <w:t>Plan municipal, Modelo sistemático de una actuación pública, que se elabora</w:t>
      </w:r>
      <w:r>
        <w:rPr>
          <w:spacing w:val="-1"/>
        </w:rPr>
        <w:t> </w:t>
      </w:r>
      <w:r>
        <w:rPr/>
        <w:t>anticipadamente para dirigirla y encauzarla.</w:t>
      </w:r>
    </w:p>
    <w:p>
      <w:pPr>
        <w:pStyle w:val="BodyText"/>
        <w:spacing w:before="275"/>
      </w:pPr>
    </w:p>
    <w:p>
      <w:pPr>
        <w:pStyle w:val="Heading2"/>
        <w:spacing w:before="1"/>
        <w:jc w:val="left"/>
        <w:rPr>
          <w:u w:val="none"/>
        </w:rPr>
      </w:pPr>
      <w:r>
        <w:rPr>
          <w:u w:val="single"/>
        </w:rPr>
        <w:t>3.-</w:t>
      </w:r>
      <w:r>
        <w:rPr>
          <w:spacing w:val="-4"/>
          <w:u w:val="single"/>
        </w:rPr>
        <w:t> </w:t>
      </w:r>
      <w:r>
        <w:rPr>
          <w:u w:val="single"/>
        </w:rPr>
        <w:t>ÁMBITO</w:t>
      </w:r>
      <w:r>
        <w:rPr>
          <w:spacing w:val="-3"/>
          <w:u w:val="single"/>
        </w:rPr>
        <w:t> </w:t>
      </w:r>
      <w:r>
        <w:rPr>
          <w:spacing w:val="-2"/>
          <w:u w:val="single"/>
        </w:rPr>
        <w:t>TERRITORIAL</w:t>
      </w:r>
    </w:p>
    <w:p>
      <w:pPr>
        <w:pStyle w:val="BodyText"/>
        <w:spacing w:before="276"/>
        <w:ind w:left="141"/>
      </w:pPr>
      <w:r>
        <w:rPr/>
        <w:t>Término</w:t>
      </w:r>
      <w:r>
        <w:rPr>
          <w:spacing w:val="-1"/>
        </w:rPr>
        <w:t> </w:t>
      </w:r>
      <w:r>
        <w:rPr/>
        <w:t>municipal</w:t>
      </w:r>
      <w:r>
        <w:rPr>
          <w:spacing w:val="-1"/>
        </w:rPr>
        <w:t> </w:t>
      </w:r>
      <w:r>
        <w:rPr/>
        <w:t>de</w:t>
      </w:r>
      <w:r>
        <w:rPr>
          <w:spacing w:val="-1"/>
        </w:rPr>
        <w:t> </w:t>
      </w:r>
      <w:r>
        <w:rPr>
          <w:spacing w:val="-4"/>
        </w:rPr>
        <w:t>Tías</w:t>
      </w:r>
    </w:p>
    <w:p>
      <w:pPr>
        <w:pStyle w:val="BodyText"/>
        <w:spacing w:after="0"/>
        <w:sectPr>
          <w:headerReference w:type="default" r:id="rId5"/>
          <w:footerReference w:type="default" r:id="rId6"/>
          <w:type w:val="continuous"/>
          <w:pgSz w:w="11910" w:h="16840"/>
          <w:pgMar w:header="698" w:footer="726" w:top="2420" w:bottom="920" w:left="992" w:right="1559"/>
          <w:pgNumType w:start="1"/>
        </w:sectPr>
      </w:pPr>
    </w:p>
    <w:p>
      <w:pPr>
        <w:pStyle w:val="BodyText"/>
        <w:spacing w:before="269"/>
      </w:pPr>
      <w:r>
        <w:rPr/>
        <mc:AlternateContent>
          <mc:Choice Requires="wps">
            <w:drawing>
              <wp:anchor distT="0" distB="0" distL="0" distR="0" allowOverlap="1" layoutInCell="1" locked="0" behindDoc="0" simplePos="0" relativeHeight="15729664">
                <wp:simplePos x="0" y="0"/>
                <wp:positionH relativeFrom="page">
                  <wp:posOffset>309245</wp:posOffset>
                </wp:positionH>
                <wp:positionV relativeFrom="page">
                  <wp:posOffset>3308222</wp:posOffset>
                </wp:positionV>
                <wp:extent cx="1270" cy="1999614"/>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1999614"/>
                        </a:xfrm>
                        <a:custGeom>
                          <a:avLst/>
                          <a:gdLst/>
                          <a:ahLst/>
                          <a:cxnLst/>
                          <a:rect l="l" t="t" r="r" b="b"/>
                          <a:pathLst>
                            <a:path w="0" h="1999614">
                              <a:moveTo>
                                <a:pt x="0" y="1999107"/>
                              </a:moveTo>
                              <a:lnTo>
                                <a:pt x="0" y="0"/>
                              </a:lnTo>
                            </a:path>
                          </a:pathLst>
                        </a:custGeom>
                        <a:ln w="6773">
                          <a:solidFill>
                            <a:srgbClr val="0000F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29664" from="24.35pt,417.89999pt" to="24.35pt,260.489990pt" stroked="true" strokeweight=".53333pt" strokecolor="#0000ff">
                <v:stroke dashstyle="solid"/>
                <w10:wrap type="none"/>
              </v:line>
            </w:pict>
          </mc:Fallback>
        </mc:AlternateContent>
      </w:r>
      <w:r>
        <w:rPr/>
        <mc:AlternateContent>
          <mc:Choice Requires="wps">
            <w:drawing>
              <wp:anchor distT="0" distB="0" distL="0" distR="0" allowOverlap="1" layoutInCell="1" locked="0" behindDoc="0" simplePos="0" relativeHeight="15730176">
                <wp:simplePos x="0" y="0"/>
                <wp:positionH relativeFrom="page">
                  <wp:posOffset>7592</wp:posOffset>
                </wp:positionH>
                <wp:positionV relativeFrom="page">
                  <wp:posOffset>1901502</wp:posOffset>
                </wp:positionV>
                <wp:extent cx="302260" cy="739394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302260" cy="7393940"/>
                        </a:xfrm>
                        <a:prstGeom prst="rect">
                          <a:avLst/>
                        </a:prstGeom>
                      </wps:spPr>
                      <wps:txbx>
                        <w:txbxContent>
                          <w:p>
                            <w:pPr>
                              <w:spacing w:before="14"/>
                              <w:ind w:left="20" w:right="0" w:firstLine="0"/>
                              <w:jc w:val="left"/>
                              <w:rPr>
                                <w:rFonts w:ascii="Arial MT" w:hAnsi="Arial MT"/>
                                <w:sz w:val="16"/>
                              </w:rPr>
                            </w:pPr>
                            <w:r>
                              <w:rPr>
                                <w:rFonts w:ascii="Arial MT" w:hAnsi="Arial MT"/>
                                <w:sz w:val="16"/>
                              </w:rPr>
                              <w:t>Ayuntamiento de Tías - Nº de registro del : - CSV: 16340776230733166363 Esta es una copia auténtica de documento original electrónico según la Ley 39/2015 </w:t>
                            </w:r>
                            <w:r>
                              <w:rPr>
                                <w:rFonts w:ascii="Arial MT" w:hAnsi="Arial MT"/>
                                <w:spacing w:val="-5"/>
                                <w:sz w:val="16"/>
                              </w:rPr>
                              <w:t>de</w:t>
                            </w:r>
                          </w:p>
                          <w:p>
                            <w:pPr>
                              <w:spacing w:before="73"/>
                              <w:ind w:left="20" w:right="0" w:firstLine="0"/>
                              <w:jc w:val="left"/>
                              <w:rPr>
                                <w:rFonts w:ascii="Arial MT" w:hAnsi="Arial MT"/>
                                <w:sz w:val="16"/>
                              </w:rPr>
                            </w:pPr>
                            <w:r>
                              <w:rPr>
                                <w:rFonts w:ascii="Arial MT" w:hAnsi="Arial MT"/>
                                <w:sz w:val="16"/>
                              </w:rPr>
                              <w:t>Procedimiento Administrativo Común Electrónico. Puede comprobar su autenticidad en: </w:t>
                            </w:r>
                            <w:hyperlink r:id="rId7">
                              <w:r>
                                <w:rPr>
                                  <w:rFonts w:ascii="Arial MT" w:hAnsi="Arial MT"/>
                                  <w:color w:val="0000FF"/>
                                  <w:spacing w:val="-2"/>
                                  <w:sz w:val="16"/>
                                </w:rPr>
                                <w:t>http://sede.ayuntamientodetias.es/validacion</w:t>
                              </w:r>
                            </w:hyperlink>
                          </w:p>
                        </w:txbxContent>
                      </wps:txbx>
                      <wps:bodyPr wrap="square" lIns="0" tIns="0" rIns="0" bIns="0" rtlCol="0" vert="vert270">
                        <a:noAutofit/>
                      </wps:bodyPr>
                    </wps:wsp>
                  </a:graphicData>
                </a:graphic>
              </wp:anchor>
            </w:drawing>
          </mc:Choice>
          <mc:Fallback>
            <w:pict>
              <v:shape style="position:absolute;margin-left:.597812pt;margin-top:149.72464pt;width:23.8pt;height:582.2pt;mso-position-horizontal-relative:page;mso-position-vertical-relative:page;z-index:15730176" type="#_x0000_t202" id="docshape4" filled="false" stroked="false">
                <v:textbox inset="0,0,0,0" style="layout-flow:vertical;mso-layout-flow-alt:bottom-to-top">
                  <w:txbxContent>
                    <w:p>
                      <w:pPr>
                        <w:spacing w:before="14"/>
                        <w:ind w:left="20" w:right="0" w:firstLine="0"/>
                        <w:jc w:val="left"/>
                        <w:rPr>
                          <w:rFonts w:ascii="Arial MT" w:hAnsi="Arial MT"/>
                          <w:sz w:val="16"/>
                        </w:rPr>
                      </w:pPr>
                      <w:r>
                        <w:rPr>
                          <w:rFonts w:ascii="Arial MT" w:hAnsi="Arial MT"/>
                          <w:sz w:val="16"/>
                        </w:rPr>
                        <w:t>Ayuntamiento de Tías - Nº de registro del : - CSV: 16340776230733166363 Esta es una copia auténtica de documento original electrónico según la Ley 39/2015 </w:t>
                      </w:r>
                      <w:r>
                        <w:rPr>
                          <w:rFonts w:ascii="Arial MT" w:hAnsi="Arial MT"/>
                          <w:spacing w:val="-5"/>
                          <w:sz w:val="16"/>
                        </w:rPr>
                        <w:t>de</w:t>
                      </w:r>
                    </w:p>
                    <w:p>
                      <w:pPr>
                        <w:spacing w:before="73"/>
                        <w:ind w:left="20" w:right="0" w:firstLine="0"/>
                        <w:jc w:val="left"/>
                        <w:rPr>
                          <w:rFonts w:ascii="Arial MT" w:hAnsi="Arial MT"/>
                          <w:sz w:val="16"/>
                        </w:rPr>
                      </w:pPr>
                      <w:r>
                        <w:rPr>
                          <w:rFonts w:ascii="Arial MT" w:hAnsi="Arial MT"/>
                          <w:sz w:val="16"/>
                        </w:rPr>
                        <w:t>Procedimiento Administrativo Común Electrónico. Puede comprobar su autenticidad en: </w:t>
                      </w:r>
                      <w:hyperlink r:id="rId7">
                        <w:r>
                          <w:rPr>
                            <w:rFonts w:ascii="Arial MT" w:hAnsi="Arial MT"/>
                            <w:color w:val="0000FF"/>
                            <w:spacing w:val="-2"/>
                            <w:sz w:val="16"/>
                          </w:rPr>
                          <w:t>http://sede.ayuntamientodetias.es/validacion</w:t>
                        </w:r>
                      </w:hyperlink>
                    </w:p>
                  </w:txbxContent>
                </v:textbox>
                <w10:wrap type="none"/>
              </v:shape>
            </w:pict>
          </mc:Fallback>
        </mc:AlternateContent>
      </w:r>
    </w:p>
    <w:p>
      <w:pPr>
        <w:pStyle w:val="Heading2"/>
        <w:spacing w:before="1"/>
        <w:jc w:val="left"/>
        <w:rPr>
          <w:u w:val="none"/>
        </w:rPr>
      </w:pPr>
      <w:r>
        <w:rPr>
          <w:u w:val="single"/>
        </w:rPr>
        <w:t>4.-</w:t>
      </w:r>
      <w:r>
        <w:rPr>
          <w:spacing w:val="-4"/>
          <w:u w:val="single"/>
        </w:rPr>
        <w:t> </w:t>
      </w:r>
      <w:r>
        <w:rPr>
          <w:u w:val="single"/>
        </w:rPr>
        <w:t>ÁMBITO</w:t>
      </w:r>
      <w:r>
        <w:rPr>
          <w:spacing w:val="-3"/>
          <w:u w:val="single"/>
        </w:rPr>
        <w:t> </w:t>
      </w:r>
      <w:r>
        <w:rPr>
          <w:spacing w:val="-2"/>
          <w:u w:val="single"/>
        </w:rPr>
        <w:t>TEMPORAL</w:t>
      </w:r>
    </w:p>
    <w:p>
      <w:pPr>
        <w:pStyle w:val="BodyText"/>
        <w:spacing w:before="276"/>
        <w:ind w:left="141"/>
      </w:pPr>
      <w:r>
        <w:rPr/>
        <w:t>La</w:t>
      </w:r>
      <w:r>
        <w:rPr>
          <w:spacing w:val="70"/>
        </w:rPr>
        <w:t> </w:t>
      </w:r>
      <w:r>
        <w:rPr/>
        <w:t>duración</w:t>
      </w:r>
      <w:r>
        <w:rPr>
          <w:spacing w:val="71"/>
        </w:rPr>
        <w:t> </w:t>
      </w:r>
      <w:r>
        <w:rPr/>
        <w:t>del</w:t>
      </w:r>
      <w:r>
        <w:rPr>
          <w:spacing w:val="71"/>
        </w:rPr>
        <w:t> </w:t>
      </w:r>
      <w:r>
        <w:rPr/>
        <w:t>Plan</w:t>
      </w:r>
      <w:r>
        <w:rPr>
          <w:spacing w:val="70"/>
        </w:rPr>
        <w:t> </w:t>
      </w:r>
      <w:r>
        <w:rPr/>
        <w:t>de</w:t>
      </w:r>
      <w:r>
        <w:rPr>
          <w:spacing w:val="71"/>
        </w:rPr>
        <w:t> </w:t>
      </w:r>
      <w:r>
        <w:rPr/>
        <w:t>Comprobación</w:t>
      </w:r>
      <w:r>
        <w:rPr>
          <w:spacing w:val="71"/>
        </w:rPr>
        <w:t> </w:t>
      </w:r>
      <w:r>
        <w:rPr/>
        <w:t>y</w:t>
      </w:r>
      <w:r>
        <w:rPr>
          <w:spacing w:val="71"/>
        </w:rPr>
        <w:t> </w:t>
      </w:r>
      <w:r>
        <w:rPr/>
        <w:t>Control</w:t>
      </w:r>
      <w:r>
        <w:rPr>
          <w:spacing w:val="71"/>
        </w:rPr>
        <w:t> </w:t>
      </w:r>
      <w:r>
        <w:rPr/>
        <w:t>de</w:t>
      </w:r>
      <w:r>
        <w:rPr>
          <w:spacing w:val="70"/>
        </w:rPr>
        <w:t> </w:t>
      </w:r>
      <w:r>
        <w:rPr/>
        <w:t>todas</w:t>
      </w:r>
      <w:r>
        <w:rPr>
          <w:spacing w:val="70"/>
        </w:rPr>
        <w:t> </w:t>
      </w:r>
      <w:r>
        <w:rPr/>
        <w:t>las</w:t>
      </w:r>
      <w:r>
        <w:rPr>
          <w:spacing w:val="70"/>
        </w:rPr>
        <w:t> </w:t>
      </w:r>
      <w:r>
        <w:rPr/>
        <w:t>viviendas</w:t>
      </w:r>
      <w:r>
        <w:rPr>
          <w:spacing w:val="71"/>
        </w:rPr>
        <w:t> </w:t>
      </w:r>
      <w:r>
        <w:rPr/>
        <w:t>vacacionales existentes en tías en materia de actividades clasificadas, tendrá una duración de cuatro años.</w:t>
      </w:r>
    </w:p>
    <w:p>
      <w:pPr>
        <w:pStyle w:val="BodyText"/>
      </w:pPr>
    </w:p>
    <w:p>
      <w:pPr>
        <w:pStyle w:val="BodyText"/>
      </w:pPr>
    </w:p>
    <w:p>
      <w:pPr>
        <w:pStyle w:val="Heading2"/>
        <w:jc w:val="left"/>
        <w:rPr>
          <w:u w:val="none"/>
        </w:rPr>
      </w:pPr>
      <w:r>
        <w:rPr>
          <w:u w:val="single"/>
        </w:rPr>
        <w:t>5.-</w:t>
      </w:r>
      <w:r>
        <w:rPr>
          <w:spacing w:val="-1"/>
          <w:u w:val="single"/>
        </w:rPr>
        <w:t> </w:t>
      </w:r>
      <w:r>
        <w:rPr>
          <w:spacing w:val="-2"/>
          <w:u w:val="single"/>
        </w:rPr>
        <w:t>OBJETIVOS</w:t>
      </w:r>
    </w:p>
    <w:p>
      <w:pPr>
        <w:pStyle w:val="BodyText"/>
      </w:pPr>
    </w:p>
    <w:p>
      <w:pPr>
        <w:pStyle w:val="BodyText"/>
        <w:ind w:left="141" w:right="140"/>
        <w:jc w:val="both"/>
      </w:pPr>
      <w:r>
        <w:rPr/>
        <w:t>Una vez aprobado el presente Plan e iniciada su implementación en un plazo de cuatro años haber efectuado las labores de comprobación y control de todas las viviendas vacacionales existentes en Tías en materia de actividades clasificadas, contenidas en la relación facilitada por la consejería competente en materia de turismo del Gobierno de Canarias.</w:t>
      </w:r>
    </w:p>
    <w:p>
      <w:pPr>
        <w:pStyle w:val="BodyText"/>
      </w:pPr>
    </w:p>
    <w:p>
      <w:pPr>
        <w:pStyle w:val="BodyText"/>
      </w:pPr>
    </w:p>
    <w:p>
      <w:pPr>
        <w:pStyle w:val="Heading2"/>
        <w:rPr>
          <w:u w:val="none"/>
        </w:rPr>
      </w:pPr>
      <w:r>
        <w:rPr>
          <w:u w:val="single"/>
        </w:rPr>
        <w:t>6.-</w:t>
      </w:r>
      <w:r>
        <w:rPr>
          <w:spacing w:val="-5"/>
          <w:u w:val="single"/>
        </w:rPr>
        <w:t> </w:t>
      </w:r>
      <w:r>
        <w:rPr>
          <w:u w:val="single"/>
        </w:rPr>
        <w:t>UNIDADES</w:t>
      </w:r>
      <w:r>
        <w:rPr>
          <w:spacing w:val="-3"/>
          <w:u w:val="single"/>
        </w:rPr>
        <w:t> </w:t>
      </w:r>
      <w:r>
        <w:rPr>
          <w:u w:val="single"/>
        </w:rPr>
        <w:t>EJECUTORAS</w:t>
      </w:r>
      <w:r>
        <w:rPr>
          <w:spacing w:val="-5"/>
          <w:u w:val="single"/>
        </w:rPr>
        <w:t> </w:t>
      </w:r>
      <w:r>
        <w:rPr>
          <w:u w:val="single"/>
        </w:rPr>
        <w:t>DEL</w:t>
      </w:r>
      <w:r>
        <w:rPr>
          <w:spacing w:val="-3"/>
          <w:u w:val="single"/>
        </w:rPr>
        <w:t> </w:t>
      </w:r>
      <w:r>
        <w:rPr>
          <w:spacing w:val="-4"/>
          <w:u w:val="single"/>
        </w:rPr>
        <w:t>PLAN</w:t>
      </w:r>
    </w:p>
    <w:p>
      <w:pPr>
        <w:pStyle w:val="BodyText"/>
      </w:pPr>
    </w:p>
    <w:p>
      <w:pPr>
        <w:pStyle w:val="BodyText"/>
        <w:spacing w:before="1"/>
        <w:ind w:left="141"/>
      </w:pPr>
      <w:r>
        <w:rPr/>
        <w:t>Sin perjuicio de la eventual aprobación de</w:t>
      </w:r>
      <w:r>
        <w:rPr>
          <w:spacing w:val="-1"/>
        </w:rPr>
        <w:t> </w:t>
      </w:r>
      <w:r>
        <w:rPr/>
        <w:t>un programa</w:t>
      </w:r>
      <w:r>
        <w:rPr>
          <w:spacing w:val="-1"/>
        </w:rPr>
        <w:t> </w:t>
      </w:r>
      <w:r>
        <w:rPr/>
        <w:t>de carácter temporal para</w:t>
      </w:r>
      <w:r>
        <w:rPr>
          <w:spacing w:val="-1"/>
        </w:rPr>
        <w:t> </w:t>
      </w:r>
      <w:r>
        <w:rPr/>
        <w:t>la ejecución del presente plan y la redacción de la memoria de evaluación de los resultados alcanzados.</w:t>
      </w:r>
    </w:p>
    <w:p>
      <w:pPr>
        <w:pStyle w:val="BodyText"/>
        <w:spacing w:before="276"/>
        <w:ind w:left="141"/>
      </w:pPr>
      <w:r>
        <w:rPr/>
        <w:t>Son</w:t>
      </w:r>
      <w:r>
        <w:rPr>
          <w:spacing w:val="-4"/>
        </w:rPr>
        <w:t> </w:t>
      </w:r>
      <w:r>
        <w:rPr/>
        <w:t>unidades</w:t>
      </w:r>
      <w:r>
        <w:rPr>
          <w:spacing w:val="-2"/>
        </w:rPr>
        <w:t> </w:t>
      </w:r>
      <w:r>
        <w:rPr/>
        <w:t>administrativas</w:t>
      </w:r>
      <w:r>
        <w:rPr>
          <w:spacing w:val="-2"/>
        </w:rPr>
        <w:t> </w:t>
      </w:r>
      <w:r>
        <w:rPr/>
        <w:t>ejecutoras</w:t>
      </w:r>
      <w:r>
        <w:rPr>
          <w:spacing w:val="-3"/>
        </w:rPr>
        <w:t> </w:t>
      </w:r>
      <w:r>
        <w:rPr/>
        <w:t>del</w:t>
      </w:r>
      <w:r>
        <w:rPr>
          <w:spacing w:val="-1"/>
        </w:rPr>
        <w:t> </w:t>
      </w:r>
      <w:r>
        <w:rPr/>
        <w:t>presente</w:t>
      </w:r>
      <w:r>
        <w:rPr>
          <w:spacing w:val="-1"/>
        </w:rPr>
        <w:t> </w:t>
      </w:r>
      <w:r>
        <w:rPr>
          <w:spacing w:val="-2"/>
        </w:rPr>
        <w:t>plan.</w:t>
      </w:r>
    </w:p>
    <w:p>
      <w:pPr>
        <w:pStyle w:val="BodyText"/>
      </w:pPr>
    </w:p>
    <w:p>
      <w:pPr>
        <w:pStyle w:val="ListParagraph"/>
        <w:numPr>
          <w:ilvl w:val="0"/>
          <w:numId w:val="1"/>
        </w:numPr>
        <w:tabs>
          <w:tab w:pos="372" w:val="left" w:leader="none"/>
        </w:tabs>
        <w:spacing w:line="240" w:lineRule="auto" w:before="0" w:after="0"/>
        <w:ind w:left="141" w:right="142" w:firstLine="0"/>
        <w:jc w:val="left"/>
        <w:rPr>
          <w:sz w:val="24"/>
        </w:rPr>
      </w:pPr>
      <w:r>
        <w:rPr>
          <w:sz w:val="24"/>
        </w:rPr>
        <w:t>ALCALDÍA</w:t>
      </w:r>
      <w:r>
        <w:rPr>
          <w:spacing w:val="80"/>
          <w:sz w:val="24"/>
        </w:rPr>
        <w:t> </w:t>
      </w:r>
      <w:r>
        <w:rPr>
          <w:sz w:val="24"/>
        </w:rPr>
        <w:t>(Coordinación</w:t>
      </w:r>
      <w:r>
        <w:rPr>
          <w:spacing w:val="80"/>
          <w:sz w:val="24"/>
        </w:rPr>
        <w:t> </w:t>
      </w:r>
      <w:r>
        <w:rPr>
          <w:sz w:val="24"/>
        </w:rPr>
        <w:t>General</w:t>
      </w:r>
      <w:r>
        <w:rPr>
          <w:spacing w:val="80"/>
          <w:sz w:val="24"/>
        </w:rPr>
        <w:t> </w:t>
      </w:r>
      <w:r>
        <w:rPr>
          <w:sz w:val="20"/>
        </w:rPr>
        <w:t>y</w:t>
      </w:r>
      <w:r>
        <w:rPr>
          <w:spacing w:val="80"/>
          <w:sz w:val="20"/>
        </w:rPr>
        <w:t> </w:t>
      </w:r>
      <w:r>
        <w:rPr>
          <w:sz w:val="24"/>
        </w:rPr>
        <w:t>funciones</w:t>
      </w:r>
      <w:r>
        <w:rPr>
          <w:spacing w:val="80"/>
          <w:sz w:val="24"/>
        </w:rPr>
        <w:t> </w:t>
      </w:r>
      <w:r>
        <w:rPr>
          <w:sz w:val="24"/>
        </w:rPr>
        <w:t>no</w:t>
      </w:r>
      <w:r>
        <w:rPr>
          <w:spacing w:val="80"/>
          <w:sz w:val="24"/>
        </w:rPr>
        <w:t> </w:t>
      </w:r>
      <w:r>
        <w:rPr>
          <w:sz w:val="24"/>
        </w:rPr>
        <w:t>atribuidas</w:t>
      </w:r>
      <w:r>
        <w:rPr>
          <w:spacing w:val="80"/>
          <w:sz w:val="24"/>
        </w:rPr>
        <w:t> </w:t>
      </w:r>
      <w:r>
        <w:rPr>
          <w:sz w:val="24"/>
        </w:rPr>
        <w:t>expresamente</w:t>
      </w:r>
      <w:r>
        <w:rPr>
          <w:spacing w:val="80"/>
          <w:sz w:val="24"/>
        </w:rPr>
        <w:t> </w:t>
      </w:r>
      <w:r>
        <w:rPr>
          <w:sz w:val="24"/>
        </w:rPr>
        <w:t>a</w:t>
      </w:r>
      <w:r>
        <w:rPr>
          <w:spacing w:val="80"/>
          <w:sz w:val="24"/>
        </w:rPr>
        <w:t> </w:t>
      </w:r>
      <w:r>
        <w:rPr>
          <w:sz w:val="24"/>
        </w:rPr>
        <w:t>otras Unidades Administrativas).</w:t>
      </w:r>
    </w:p>
    <w:p>
      <w:pPr>
        <w:pStyle w:val="ListParagraph"/>
        <w:numPr>
          <w:ilvl w:val="0"/>
          <w:numId w:val="1"/>
        </w:numPr>
        <w:tabs>
          <w:tab w:pos="298" w:val="left" w:leader="none"/>
        </w:tabs>
        <w:spacing w:line="240" w:lineRule="auto" w:before="0" w:after="0"/>
        <w:ind w:left="141" w:right="142" w:firstLine="0"/>
        <w:jc w:val="left"/>
        <w:rPr>
          <w:sz w:val="24"/>
        </w:rPr>
      </w:pPr>
      <w:r>
        <w:rPr>
          <w:sz w:val="24"/>
        </w:rPr>
        <w:t>OFICINA TÉCNICA MUNICIPAL </w:t>
      </w:r>
      <w:r>
        <w:rPr>
          <w:sz w:val="20"/>
        </w:rPr>
        <w:t>(</w:t>
      </w:r>
      <w:r>
        <w:rPr>
          <w:sz w:val="24"/>
        </w:rPr>
        <w:t>actividades, régimen sancionador, asistencia técnica a las unidades administrativas del Ayuntamiento)</w:t>
      </w:r>
    </w:p>
    <w:p>
      <w:pPr>
        <w:pStyle w:val="BodyText"/>
      </w:pPr>
    </w:p>
    <w:p>
      <w:pPr>
        <w:pStyle w:val="BodyText"/>
      </w:pPr>
    </w:p>
    <w:p>
      <w:pPr>
        <w:pStyle w:val="Heading2"/>
        <w:jc w:val="left"/>
        <w:rPr>
          <w:u w:val="none"/>
        </w:rPr>
      </w:pPr>
      <w:r>
        <w:rPr>
          <w:u w:val="single"/>
        </w:rPr>
        <w:t>7.-</w:t>
      </w:r>
      <w:r>
        <w:rPr>
          <w:spacing w:val="-1"/>
          <w:u w:val="single"/>
        </w:rPr>
        <w:t> </w:t>
      </w:r>
      <w:r>
        <w:rPr>
          <w:spacing w:val="-2"/>
          <w:u w:val="single"/>
        </w:rPr>
        <w:t>CALENDARIO/TAREAS/ACTIVIDADES</w:t>
      </w:r>
    </w:p>
    <w:p>
      <w:pPr>
        <w:pStyle w:val="BodyText"/>
      </w:pPr>
    </w:p>
    <w:p>
      <w:pPr>
        <w:pStyle w:val="BodyText"/>
      </w:pPr>
    </w:p>
    <w:p>
      <w:pPr>
        <w:pStyle w:val="BodyText"/>
        <w:ind w:left="141" w:right="142"/>
        <w:jc w:val="both"/>
      </w:pPr>
      <w:r>
        <w:rPr/>
        <w:t>La distribución de la relación facilitada por la consejería de turismo del Gobierno de Canarias para la comprobación y control se realizará durante los cuatros años de duración del Plan y siguiendo el orden de antigüedad de las inscripciones practicadas en el Registro General Turístico </w:t>
      </w:r>
      <w:r>
        <w:rPr>
          <w:color w:val="FF0000"/>
        </w:rPr>
        <w:t>.</w:t>
      </w:r>
    </w:p>
    <w:p>
      <w:pPr>
        <w:pStyle w:val="BodyText"/>
        <w:spacing w:before="1"/>
      </w:pPr>
    </w:p>
    <w:p>
      <w:pPr>
        <w:pStyle w:val="BodyText"/>
        <w:ind w:left="141" w:right="141"/>
        <w:jc w:val="both"/>
      </w:pPr>
      <w:r>
        <w:rPr/>
        <w:t>Incidencias: A las actuaciones programadas de comprobación y control se incorporarán aquellas</w:t>
      </w:r>
      <w:r>
        <w:rPr>
          <w:spacing w:val="-4"/>
        </w:rPr>
        <w:t> </w:t>
      </w:r>
      <w:r>
        <w:rPr/>
        <w:t>actuaciones</w:t>
      </w:r>
      <w:r>
        <w:rPr>
          <w:spacing w:val="-4"/>
        </w:rPr>
        <w:t> </w:t>
      </w:r>
      <w:r>
        <w:rPr/>
        <w:t>de</w:t>
      </w:r>
      <w:r>
        <w:rPr>
          <w:spacing w:val="-3"/>
        </w:rPr>
        <w:t> </w:t>
      </w:r>
      <w:r>
        <w:rPr/>
        <w:t>inspección</w:t>
      </w:r>
      <w:r>
        <w:rPr>
          <w:spacing w:val="-3"/>
        </w:rPr>
        <w:t> </w:t>
      </w:r>
      <w:r>
        <w:rPr/>
        <w:t>de</w:t>
      </w:r>
      <w:r>
        <w:rPr>
          <w:spacing w:val="-2"/>
        </w:rPr>
        <w:t> </w:t>
      </w:r>
      <w:r>
        <w:rPr/>
        <w:t>aquellas</w:t>
      </w:r>
      <w:r>
        <w:rPr>
          <w:spacing w:val="-4"/>
        </w:rPr>
        <w:t> </w:t>
      </w:r>
      <w:r>
        <w:rPr/>
        <w:t>viviendas</w:t>
      </w:r>
      <w:r>
        <w:rPr>
          <w:spacing w:val="-4"/>
        </w:rPr>
        <w:t> </w:t>
      </w:r>
      <w:r>
        <w:rPr/>
        <w:t>vacacionales</w:t>
      </w:r>
      <w:r>
        <w:rPr>
          <w:spacing w:val="-1"/>
        </w:rPr>
        <w:t> </w:t>
      </w:r>
      <w:r>
        <w:rPr/>
        <w:t>con</w:t>
      </w:r>
      <w:r>
        <w:rPr>
          <w:spacing w:val="-1"/>
        </w:rPr>
        <w:t> </w:t>
      </w:r>
      <w:r>
        <w:rPr/>
        <w:t>indicios</w:t>
      </w:r>
      <w:r>
        <w:rPr>
          <w:spacing w:val="-12"/>
        </w:rPr>
        <w:t> </w:t>
      </w:r>
      <w:r>
        <w:rPr/>
        <w:t>de</w:t>
      </w:r>
      <w:r>
        <w:rPr>
          <w:spacing w:val="-4"/>
        </w:rPr>
        <w:t> </w:t>
      </w:r>
      <w:r>
        <w:rPr/>
        <w:t>riesgo</w:t>
      </w:r>
      <w:r>
        <w:rPr>
          <w:spacing w:val="-3"/>
        </w:rPr>
        <w:t> </w:t>
      </w:r>
      <w:r>
        <w:rPr/>
        <w:t>o de irregularidades advertidos y comunicados por quienes sean agentes de la autoridad en ejercicio de sus funciones.</w:t>
      </w:r>
    </w:p>
    <w:p>
      <w:pPr>
        <w:pStyle w:val="BodyText"/>
      </w:pPr>
    </w:p>
    <w:p>
      <w:pPr>
        <w:pStyle w:val="Heading2"/>
        <w:ind w:right="146"/>
        <w:rPr>
          <w:u w:val="none"/>
        </w:rPr>
      </w:pPr>
      <w:r>
        <w:rPr>
          <w:u w:val="single"/>
        </w:rPr>
        <w:t>8.- METODOLOGÍA PARA EL</w:t>
      </w:r>
      <w:r>
        <w:rPr>
          <w:spacing w:val="40"/>
          <w:u w:val="single"/>
        </w:rPr>
        <w:t> </w:t>
      </w:r>
      <w:r>
        <w:rPr>
          <w:u w:val="single"/>
        </w:rPr>
        <w:t>DIAGNÓSTICO Y MEJORA DE LA EJECUCIÓN DEL</w:t>
      </w:r>
      <w:r>
        <w:rPr>
          <w:u w:val="none"/>
        </w:rPr>
        <w:t> </w:t>
      </w:r>
      <w:r>
        <w:rPr>
          <w:u w:val="single"/>
        </w:rPr>
        <w:t>PLAN/EVALUACIÓN DEL PLAN.</w:t>
      </w:r>
    </w:p>
    <w:p>
      <w:pPr>
        <w:pStyle w:val="Heading2"/>
        <w:spacing w:after="0"/>
        <w:sectPr>
          <w:pgSz w:w="11910" w:h="16840"/>
          <w:pgMar w:header="698" w:footer="726" w:top="2420" w:bottom="920" w:left="992" w:right="1559"/>
        </w:sectPr>
      </w:pPr>
    </w:p>
    <w:p>
      <w:pPr>
        <w:pStyle w:val="BodyText"/>
        <w:spacing w:before="269"/>
      </w:pPr>
      <w:r>
        <w:rPr/>
        <mc:AlternateContent>
          <mc:Choice Requires="wps">
            <w:drawing>
              <wp:anchor distT="0" distB="0" distL="0" distR="0" allowOverlap="1" layoutInCell="1" locked="0" behindDoc="0" simplePos="0" relativeHeight="15730688">
                <wp:simplePos x="0" y="0"/>
                <wp:positionH relativeFrom="page">
                  <wp:posOffset>309245</wp:posOffset>
                </wp:positionH>
                <wp:positionV relativeFrom="page">
                  <wp:posOffset>3308222</wp:posOffset>
                </wp:positionV>
                <wp:extent cx="1270" cy="1999614"/>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1270" cy="1999614"/>
                        </a:xfrm>
                        <a:custGeom>
                          <a:avLst/>
                          <a:gdLst/>
                          <a:ahLst/>
                          <a:cxnLst/>
                          <a:rect l="l" t="t" r="r" b="b"/>
                          <a:pathLst>
                            <a:path w="0" h="1999614">
                              <a:moveTo>
                                <a:pt x="0" y="1999107"/>
                              </a:moveTo>
                              <a:lnTo>
                                <a:pt x="0" y="0"/>
                              </a:lnTo>
                            </a:path>
                          </a:pathLst>
                        </a:custGeom>
                        <a:ln w="6773">
                          <a:solidFill>
                            <a:srgbClr val="0000F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0688" from="24.35pt,417.89999pt" to="24.35pt,260.489990pt" stroked="true" strokeweight=".53333pt" strokecolor="#0000ff">
                <v:stroke dashstyle="solid"/>
                <w10:wrap type="none"/>
              </v:line>
            </w:pict>
          </mc:Fallback>
        </mc:AlternateContent>
      </w:r>
      <w:r>
        <w:rPr/>
        <mc:AlternateContent>
          <mc:Choice Requires="wps">
            <w:drawing>
              <wp:anchor distT="0" distB="0" distL="0" distR="0" allowOverlap="1" layoutInCell="1" locked="0" behindDoc="0" simplePos="0" relativeHeight="15731200">
                <wp:simplePos x="0" y="0"/>
                <wp:positionH relativeFrom="page">
                  <wp:posOffset>7592</wp:posOffset>
                </wp:positionH>
                <wp:positionV relativeFrom="page">
                  <wp:posOffset>1901502</wp:posOffset>
                </wp:positionV>
                <wp:extent cx="302260" cy="739394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302260" cy="7393940"/>
                        </a:xfrm>
                        <a:prstGeom prst="rect">
                          <a:avLst/>
                        </a:prstGeom>
                      </wps:spPr>
                      <wps:txbx>
                        <w:txbxContent>
                          <w:p>
                            <w:pPr>
                              <w:spacing w:before="14"/>
                              <w:ind w:left="20" w:right="0" w:firstLine="0"/>
                              <w:jc w:val="left"/>
                              <w:rPr>
                                <w:rFonts w:ascii="Arial MT" w:hAnsi="Arial MT"/>
                                <w:sz w:val="16"/>
                              </w:rPr>
                            </w:pPr>
                            <w:r>
                              <w:rPr>
                                <w:rFonts w:ascii="Arial MT" w:hAnsi="Arial MT"/>
                                <w:sz w:val="16"/>
                              </w:rPr>
                              <w:t>Ayuntamiento de Tías - Nº de registro del : - CSV: 16340776230733166363 Esta es una copia auténtica de documento original electrónico según la Ley 39/2015 </w:t>
                            </w:r>
                            <w:r>
                              <w:rPr>
                                <w:rFonts w:ascii="Arial MT" w:hAnsi="Arial MT"/>
                                <w:spacing w:val="-5"/>
                                <w:sz w:val="16"/>
                              </w:rPr>
                              <w:t>de</w:t>
                            </w:r>
                          </w:p>
                          <w:p>
                            <w:pPr>
                              <w:spacing w:before="73"/>
                              <w:ind w:left="20" w:right="0" w:firstLine="0"/>
                              <w:jc w:val="left"/>
                              <w:rPr>
                                <w:rFonts w:ascii="Arial MT" w:hAnsi="Arial MT"/>
                                <w:sz w:val="16"/>
                              </w:rPr>
                            </w:pPr>
                            <w:r>
                              <w:rPr>
                                <w:rFonts w:ascii="Arial MT" w:hAnsi="Arial MT"/>
                                <w:sz w:val="16"/>
                              </w:rPr>
                              <w:t>Procedimiento Administrativo Común Electrónico. Puede comprobar su autenticidad en: </w:t>
                            </w:r>
                            <w:hyperlink r:id="rId7">
                              <w:r>
                                <w:rPr>
                                  <w:rFonts w:ascii="Arial MT" w:hAnsi="Arial MT"/>
                                  <w:color w:val="0000FF"/>
                                  <w:spacing w:val="-2"/>
                                  <w:sz w:val="16"/>
                                </w:rPr>
                                <w:t>http://sede.ayuntamientodetias.es/validacion</w:t>
                              </w:r>
                            </w:hyperlink>
                          </w:p>
                        </w:txbxContent>
                      </wps:txbx>
                      <wps:bodyPr wrap="square" lIns="0" tIns="0" rIns="0" bIns="0" rtlCol="0" vert="vert270">
                        <a:noAutofit/>
                      </wps:bodyPr>
                    </wps:wsp>
                  </a:graphicData>
                </a:graphic>
              </wp:anchor>
            </w:drawing>
          </mc:Choice>
          <mc:Fallback>
            <w:pict>
              <v:shape style="position:absolute;margin-left:.597812pt;margin-top:149.72464pt;width:23.8pt;height:582.2pt;mso-position-horizontal-relative:page;mso-position-vertical-relative:page;z-index:15731200" type="#_x0000_t202" id="docshape5" filled="false" stroked="false">
                <v:textbox inset="0,0,0,0" style="layout-flow:vertical;mso-layout-flow-alt:bottom-to-top">
                  <w:txbxContent>
                    <w:p>
                      <w:pPr>
                        <w:spacing w:before="14"/>
                        <w:ind w:left="20" w:right="0" w:firstLine="0"/>
                        <w:jc w:val="left"/>
                        <w:rPr>
                          <w:rFonts w:ascii="Arial MT" w:hAnsi="Arial MT"/>
                          <w:sz w:val="16"/>
                        </w:rPr>
                      </w:pPr>
                      <w:r>
                        <w:rPr>
                          <w:rFonts w:ascii="Arial MT" w:hAnsi="Arial MT"/>
                          <w:sz w:val="16"/>
                        </w:rPr>
                        <w:t>Ayuntamiento de Tías - Nº de registro del : - CSV: 16340776230733166363 Esta es una copia auténtica de documento original electrónico según la Ley 39/2015 </w:t>
                      </w:r>
                      <w:r>
                        <w:rPr>
                          <w:rFonts w:ascii="Arial MT" w:hAnsi="Arial MT"/>
                          <w:spacing w:val="-5"/>
                          <w:sz w:val="16"/>
                        </w:rPr>
                        <w:t>de</w:t>
                      </w:r>
                    </w:p>
                    <w:p>
                      <w:pPr>
                        <w:spacing w:before="73"/>
                        <w:ind w:left="20" w:right="0" w:firstLine="0"/>
                        <w:jc w:val="left"/>
                        <w:rPr>
                          <w:rFonts w:ascii="Arial MT" w:hAnsi="Arial MT"/>
                          <w:sz w:val="16"/>
                        </w:rPr>
                      </w:pPr>
                      <w:r>
                        <w:rPr>
                          <w:rFonts w:ascii="Arial MT" w:hAnsi="Arial MT"/>
                          <w:sz w:val="16"/>
                        </w:rPr>
                        <w:t>Procedimiento Administrativo Común Electrónico. Puede comprobar su autenticidad en: </w:t>
                      </w:r>
                      <w:hyperlink r:id="rId7">
                        <w:r>
                          <w:rPr>
                            <w:rFonts w:ascii="Arial MT" w:hAnsi="Arial MT"/>
                            <w:color w:val="0000FF"/>
                            <w:spacing w:val="-2"/>
                            <w:sz w:val="16"/>
                          </w:rPr>
                          <w:t>http://sede.ayuntamientodetias.es/validacion</w:t>
                        </w:r>
                      </w:hyperlink>
                    </w:p>
                  </w:txbxContent>
                </v:textbox>
                <w10:wrap type="none"/>
              </v:shape>
            </w:pict>
          </mc:Fallback>
        </mc:AlternateContent>
      </w:r>
    </w:p>
    <w:p>
      <w:pPr>
        <w:pStyle w:val="BodyText"/>
        <w:spacing w:before="1"/>
        <w:ind w:left="141" w:right="139"/>
        <w:jc w:val="both"/>
      </w:pPr>
      <w:r>
        <w:rPr/>
        <w:t>Durante la ejecución del plan se procederá a recabar datos numéricos y estadísticos que permitan la eventual mejora del plan en concreto y específicamente siendo las métricas más </w:t>
      </w:r>
      <w:r>
        <w:rPr>
          <w:spacing w:val="-2"/>
        </w:rPr>
        <w:t>relevantes:</w:t>
      </w:r>
    </w:p>
    <w:p>
      <w:pPr>
        <w:pStyle w:val="ListParagraph"/>
        <w:numPr>
          <w:ilvl w:val="0"/>
          <w:numId w:val="1"/>
        </w:numPr>
        <w:tabs>
          <w:tab w:pos="279" w:val="left" w:leader="none"/>
        </w:tabs>
        <w:spacing w:line="240" w:lineRule="auto" w:before="0" w:after="0"/>
        <w:ind w:left="279" w:right="0" w:hanging="138"/>
        <w:jc w:val="both"/>
        <w:rPr>
          <w:sz w:val="24"/>
        </w:rPr>
      </w:pPr>
      <w:r>
        <w:rPr>
          <w:sz w:val="24"/>
        </w:rPr>
        <w:t>Número</w:t>
      </w:r>
      <w:r>
        <w:rPr>
          <w:spacing w:val="-4"/>
          <w:sz w:val="24"/>
        </w:rPr>
        <w:t> </w:t>
      </w:r>
      <w:r>
        <w:rPr>
          <w:sz w:val="24"/>
        </w:rPr>
        <w:t>de</w:t>
      </w:r>
      <w:r>
        <w:rPr>
          <w:spacing w:val="-2"/>
          <w:sz w:val="24"/>
        </w:rPr>
        <w:t> </w:t>
      </w:r>
      <w:r>
        <w:rPr>
          <w:sz w:val="24"/>
        </w:rPr>
        <w:t>actuaciones</w:t>
      </w:r>
      <w:r>
        <w:rPr>
          <w:spacing w:val="-1"/>
          <w:sz w:val="24"/>
        </w:rPr>
        <w:t> </w:t>
      </w:r>
      <w:r>
        <w:rPr>
          <w:sz w:val="24"/>
        </w:rPr>
        <w:t>de</w:t>
      </w:r>
      <w:r>
        <w:rPr>
          <w:spacing w:val="-3"/>
          <w:sz w:val="24"/>
        </w:rPr>
        <w:t> </w:t>
      </w:r>
      <w:r>
        <w:rPr>
          <w:sz w:val="24"/>
        </w:rPr>
        <w:t>comprobaciones</w:t>
      </w:r>
      <w:r>
        <w:rPr>
          <w:spacing w:val="-3"/>
          <w:sz w:val="24"/>
        </w:rPr>
        <w:t> </w:t>
      </w:r>
      <w:r>
        <w:rPr>
          <w:sz w:val="24"/>
        </w:rPr>
        <w:t>y</w:t>
      </w:r>
      <w:r>
        <w:rPr>
          <w:spacing w:val="-2"/>
          <w:sz w:val="24"/>
        </w:rPr>
        <w:t> </w:t>
      </w:r>
      <w:r>
        <w:rPr>
          <w:sz w:val="24"/>
        </w:rPr>
        <w:t>control</w:t>
      </w:r>
      <w:r>
        <w:rPr>
          <w:spacing w:val="-2"/>
          <w:sz w:val="24"/>
        </w:rPr>
        <w:t> </w:t>
      </w:r>
      <w:r>
        <w:rPr>
          <w:sz w:val="24"/>
        </w:rPr>
        <w:t>(carácter</w:t>
      </w:r>
      <w:r>
        <w:rPr>
          <w:spacing w:val="-1"/>
          <w:sz w:val="24"/>
        </w:rPr>
        <w:t> </w:t>
      </w:r>
      <w:r>
        <w:rPr>
          <w:spacing w:val="-2"/>
          <w:sz w:val="24"/>
        </w:rPr>
        <w:t>mensual)</w:t>
      </w:r>
    </w:p>
    <w:p>
      <w:pPr>
        <w:pStyle w:val="ListParagraph"/>
        <w:numPr>
          <w:ilvl w:val="0"/>
          <w:numId w:val="1"/>
        </w:numPr>
        <w:tabs>
          <w:tab w:pos="279" w:val="left" w:leader="none"/>
        </w:tabs>
        <w:spacing w:line="240" w:lineRule="auto" w:before="0" w:after="0"/>
        <w:ind w:left="141" w:right="141" w:firstLine="0"/>
        <w:jc w:val="both"/>
        <w:rPr>
          <w:sz w:val="24"/>
        </w:rPr>
      </w:pPr>
      <w:r>
        <w:rPr>
          <w:sz w:val="24"/>
        </w:rPr>
        <w:t>Número</w:t>
      </w:r>
      <w:r>
        <w:rPr>
          <w:spacing w:val="-3"/>
          <w:sz w:val="24"/>
        </w:rPr>
        <w:t> </w:t>
      </w:r>
      <w:r>
        <w:rPr>
          <w:sz w:val="24"/>
        </w:rPr>
        <w:t>de</w:t>
      </w:r>
      <w:r>
        <w:rPr>
          <w:spacing w:val="-2"/>
          <w:sz w:val="24"/>
        </w:rPr>
        <w:t> </w:t>
      </w:r>
      <w:r>
        <w:rPr>
          <w:sz w:val="24"/>
        </w:rPr>
        <w:t>comunicaciones</w:t>
      </w:r>
      <w:r>
        <w:rPr>
          <w:spacing w:val="-2"/>
          <w:sz w:val="24"/>
        </w:rPr>
        <w:t> </w:t>
      </w:r>
      <w:r>
        <w:rPr>
          <w:sz w:val="24"/>
        </w:rPr>
        <w:t>de</w:t>
      </w:r>
      <w:r>
        <w:rPr>
          <w:spacing w:val="-2"/>
          <w:sz w:val="24"/>
        </w:rPr>
        <w:t> </w:t>
      </w:r>
      <w:r>
        <w:rPr>
          <w:sz w:val="24"/>
        </w:rPr>
        <w:t>agentes</w:t>
      </w:r>
      <w:r>
        <w:rPr>
          <w:spacing w:val="-4"/>
          <w:sz w:val="24"/>
        </w:rPr>
        <w:t> </w:t>
      </w:r>
      <w:r>
        <w:rPr>
          <w:sz w:val="24"/>
        </w:rPr>
        <w:t>de</w:t>
      </w:r>
      <w:r>
        <w:rPr>
          <w:spacing w:val="-4"/>
          <w:sz w:val="24"/>
        </w:rPr>
        <w:t> </w:t>
      </w:r>
      <w:r>
        <w:rPr>
          <w:sz w:val="24"/>
        </w:rPr>
        <w:t>la</w:t>
      </w:r>
      <w:r>
        <w:rPr>
          <w:spacing w:val="-2"/>
          <w:sz w:val="24"/>
        </w:rPr>
        <w:t> </w:t>
      </w:r>
      <w:r>
        <w:rPr>
          <w:sz w:val="24"/>
        </w:rPr>
        <w:t>autoridad</w:t>
      </w:r>
      <w:r>
        <w:rPr>
          <w:spacing w:val="-3"/>
          <w:sz w:val="24"/>
        </w:rPr>
        <w:t> </w:t>
      </w:r>
      <w:r>
        <w:rPr>
          <w:sz w:val="24"/>
        </w:rPr>
        <w:t>en</w:t>
      </w:r>
      <w:r>
        <w:rPr>
          <w:spacing w:val="-1"/>
          <w:sz w:val="24"/>
        </w:rPr>
        <w:t> </w:t>
      </w:r>
      <w:r>
        <w:rPr>
          <w:sz w:val="24"/>
        </w:rPr>
        <w:t>ejercicio</w:t>
      </w:r>
      <w:r>
        <w:rPr>
          <w:spacing w:val="-3"/>
          <w:sz w:val="24"/>
        </w:rPr>
        <w:t> </w:t>
      </w:r>
      <w:r>
        <w:rPr>
          <w:sz w:val="24"/>
        </w:rPr>
        <w:t>de</w:t>
      </w:r>
      <w:r>
        <w:rPr>
          <w:spacing w:val="-4"/>
          <w:sz w:val="24"/>
        </w:rPr>
        <w:t> </w:t>
      </w:r>
      <w:r>
        <w:rPr>
          <w:sz w:val="24"/>
        </w:rPr>
        <w:t>sus</w:t>
      </w:r>
      <w:r>
        <w:rPr>
          <w:spacing w:val="-1"/>
          <w:sz w:val="24"/>
        </w:rPr>
        <w:t> </w:t>
      </w:r>
      <w:r>
        <w:rPr>
          <w:sz w:val="24"/>
        </w:rPr>
        <w:t>funciones relativas viviendas vacacionales con indicios de riesgo o de irregularidades (carácter mensual)</w:t>
      </w:r>
    </w:p>
    <w:p>
      <w:pPr>
        <w:pStyle w:val="ListParagraph"/>
        <w:numPr>
          <w:ilvl w:val="0"/>
          <w:numId w:val="1"/>
        </w:numPr>
        <w:tabs>
          <w:tab w:pos="346" w:val="left" w:leader="none"/>
        </w:tabs>
        <w:spacing w:line="240" w:lineRule="auto" w:before="0" w:after="0"/>
        <w:ind w:left="141" w:right="143" w:firstLine="0"/>
        <w:jc w:val="both"/>
        <w:rPr>
          <w:sz w:val="24"/>
        </w:rPr>
      </w:pPr>
      <w:r>
        <w:rPr>
          <w:sz w:val="24"/>
        </w:rPr>
        <w:t>Número de actuaciones de inspección a resultas de comunicaciones de agentes de la autoridad (carácter mensual)</w:t>
      </w:r>
    </w:p>
    <w:p>
      <w:pPr>
        <w:pStyle w:val="ListParagraph"/>
        <w:numPr>
          <w:ilvl w:val="0"/>
          <w:numId w:val="1"/>
        </w:numPr>
        <w:tabs>
          <w:tab w:pos="346" w:val="left" w:leader="none"/>
        </w:tabs>
        <w:spacing w:line="240" w:lineRule="auto" w:before="0" w:after="0"/>
        <w:ind w:left="141" w:right="141" w:firstLine="0"/>
        <w:jc w:val="both"/>
        <w:rPr>
          <w:sz w:val="24"/>
        </w:rPr>
      </w:pPr>
      <w:r>
        <w:rPr>
          <w:sz w:val="24"/>
        </w:rPr>
        <w:t>Tiempo promedio de las actuaciones de comprobación, control e inspección (carácter </w:t>
      </w:r>
      <w:r>
        <w:rPr>
          <w:spacing w:val="-2"/>
          <w:sz w:val="24"/>
        </w:rPr>
        <w:t>mensual)</w:t>
      </w:r>
    </w:p>
    <w:p>
      <w:pPr>
        <w:pStyle w:val="ListParagraph"/>
        <w:numPr>
          <w:ilvl w:val="0"/>
          <w:numId w:val="1"/>
        </w:numPr>
        <w:tabs>
          <w:tab w:pos="370" w:val="left" w:leader="none"/>
        </w:tabs>
        <w:spacing w:line="240" w:lineRule="auto" w:before="0" w:after="0"/>
        <w:ind w:left="141" w:right="143" w:firstLine="0"/>
        <w:jc w:val="both"/>
        <w:rPr>
          <w:sz w:val="24"/>
        </w:rPr>
      </w:pPr>
      <w:r>
        <w:rPr>
          <w:sz w:val="24"/>
        </w:rPr>
        <w:t>Índice de satisfacción ciudadana en materia de comprobación, control e inspección (encuesta) (calidad) (carácter anual)</w:t>
      </w:r>
    </w:p>
    <w:p>
      <w:pPr>
        <w:pStyle w:val="BodyText"/>
      </w:pPr>
    </w:p>
    <w:p>
      <w:pPr>
        <w:pStyle w:val="BodyText"/>
        <w:ind w:left="141" w:right="136"/>
        <w:jc w:val="both"/>
      </w:pPr>
      <w:r>
        <w:rPr/>
        <w:t>En cumplimiento con la referida disposición adicional segunda una vez finalizada la vigencia del plan, se evacuará memoria de evaluación de los resultados alcanzados, y</w:t>
      </w:r>
      <w:r>
        <w:rPr>
          <w:spacing w:val="40"/>
        </w:rPr>
        <w:t> </w:t>
      </w:r>
      <w:r>
        <w:rPr/>
        <w:t>en un plazo de dos meses desde</w:t>
      </w:r>
      <w:r>
        <w:rPr>
          <w:spacing w:val="-1"/>
        </w:rPr>
        <w:t> </w:t>
      </w:r>
      <w:r>
        <w:rPr/>
        <w:t>la finalización de</w:t>
      </w:r>
      <w:r>
        <w:rPr>
          <w:spacing w:val="-1"/>
        </w:rPr>
        <w:t> </w:t>
      </w:r>
      <w:r>
        <w:rPr/>
        <w:t>la vigencia</w:t>
      </w:r>
      <w:r>
        <w:rPr>
          <w:spacing w:val="-1"/>
        </w:rPr>
        <w:t> </w:t>
      </w:r>
      <w:r>
        <w:rPr/>
        <w:t>del plan,</w:t>
      </w:r>
      <w:r>
        <w:rPr>
          <w:spacing w:val="-1"/>
        </w:rPr>
        <w:t> </w:t>
      </w:r>
      <w:r>
        <w:rPr/>
        <w:t>se</w:t>
      </w:r>
      <w:r>
        <w:rPr>
          <w:spacing w:val="-1"/>
        </w:rPr>
        <w:t> </w:t>
      </w:r>
      <w:r>
        <w:rPr/>
        <w:t>presentará dicha memoria de la</w:t>
      </w:r>
      <w:r>
        <w:rPr>
          <w:spacing w:val="-1"/>
        </w:rPr>
        <w:t> </w:t>
      </w:r>
      <w:r>
        <w:rPr/>
        <w:t>que se remitirá copia al cabildo insular de Lanzarote y a la consejería competente en materia de turismo del Gobierno de Canarias.</w:t>
      </w:r>
    </w:p>
    <w:p>
      <w:pPr>
        <w:pStyle w:val="BodyText"/>
      </w:pPr>
    </w:p>
    <w:p>
      <w:pPr>
        <w:pStyle w:val="BodyText"/>
      </w:pPr>
    </w:p>
    <w:p>
      <w:pPr>
        <w:pStyle w:val="Heading2"/>
        <w:spacing w:before="1"/>
        <w:rPr>
          <w:u w:val="none"/>
        </w:rPr>
      </w:pPr>
      <w:r>
        <w:rPr>
          <w:u w:val="single"/>
        </w:rPr>
        <w:t>9.-</w:t>
      </w:r>
      <w:r>
        <w:rPr>
          <w:spacing w:val="-1"/>
          <w:u w:val="single"/>
        </w:rPr>
        <w:t> </w:t>
      </w:r>
      <w:r>
        <w:rPr>
          <w:spacing w:val="-2"/>
          <w:u w:val="single"/>
        </w:rPr>
        <w:t>SEGUIMIENTO.</w:t>
      </w:r>
    </w:p>
    <w:p>
      <w:pPr>
        <w:pStyle w:val="BodyText"/>
      </w:pPr>
    </w:p>
    <w:p>
      <w:pPr>
        <w:pStyle w:val="BodyText"/>
        <w:ind w:left="141" w:right="140"/>
        <w:jc w:val="both"/>
      </w:pPr>
      <w:r>
        <w:rPr/>
        <w:t>Para el seguimiento se precisará de reuniones periódicas de los responsables de las unidades de ejecución del plan y de los empleados públicos que efectúen el trabajo de campo así como informes detallados con objeto de la monitorización continua del grado de ejecución del plan</w:t>
      </w:r>
      <w:r>
        <w:rPr>
          <w:spacing w:val="40"/>
        </w:rPr>
        <w:t> </w:t>
      </w:r>
      <w:r>
        <w:rPr/>
        <w:t>y los efectos de las acciones y actuaciones del plan para asegurarse de que se alcanza el objetivo planeado.</w:t>
      </w:r>
    </w:p>
    <w:p>
      <w:pPr>
        <w:pStyle w:val="BodyText"/>
      </w:pPr>
    </w:p>
    <w:p>
      <w:pPr>
        <w:pStyle w:val="BodyText"/>
      </w:pPr>
    </w:p>
    <w:p>
      <w:pPr>
        <w:pStyle w:val="Heading2"/>
        <w:rPr>
          <w:u w:val="none"/>
        </w:rPr>
      </w:pPr>
      <w:r>
        <w:rPr>
          <w:u w:val="single"/>
        </w:rPr>
        <w:t>10.-</w:t>
      </w:r>
      <w:r>
        <w:rPr>
          <w:spacing w:val="-4"/>
          <w:u w:val="single"/>
        </w:rPr>
        <w:t> </w:t>
      </w:r>
      <w:r>
        <w:rPr>
          <w:u w:val="single"/>
        </w:rPr>
        <w:t>ACTUACIONES</w:t>
      </w:r>
      <w:r>
        <w:rPr>
          <w:spacing w:val="-3"/>
          <w:u w:val="single"/>
        </w:rPr>
        <w:t> </w:t>
      </w:r>
      <w:r>
        <w:rPr>
          <w:u w:val="single"/>
        </w:rPr>
        <w:t>DE</w:t>
      </w:r>
      <w:r>
        <w:rPr>
          <w:spacing w:val="-3"/>
          <w:u w:val="single"/>
        </w:rPr>
        <w:t> </w:t>
      </w:r>
      <w:r>
        <w:rPr>
          <w:spacing w:val="-2"/>
          <w:u w:val="single"/>
        </w:rPr>
        <w:t>INSPECCIÓN</w:t>
      </w:r>
    </w:p>
    <w:p>
      <w:pPr>
        <w:pStyle w:val="BodyText"/>
      </w:pPr>
    </w:p>
    <w:p>
      <w:pPr>
        <w:pStyle w:val="BodyText"/>
        <w:ind w:left="141" w:right="143"/>
        <w:jc w:val="both"/>
      </w:pPr>
      <w:r>
        <w:rPr/>
        <w:t>Con independencia de las actuaciones de comprobación y control planificadas se efectuarán actuaciones de inspección de todas las viviendas vacacionales con indicios de riesgo o de irregularidades advertidos y comunicados por quienes sean agentes de la autoridad en</w:t>
      </w:r>
      <w:r>
        <w:rPr>
          <w:spacing w:val="40"/>
        </w:rPr>
        <w:t> </w:t>
      </w:r>
      <w:r>
        <w:rPr/>
        <w:t>ejercicio de sus funciones.</w:t>
      </w:r>
    </w:p>
    <w:p>
      <w:pPr>
        <w:pStyle w:val="BodyText"/>
        <w:spacing w:before="1"/>
      </w:pPr>
    </w:p>
    <w:p>
      <w:pPr>
        <w:pStyle w:val="BodyText"/>
        <w:ind w:left="141" w:right="135"/>
        <w:jc w:val="both"/>
      </w:pPr>
      <w:r>
        <w:rPr/>
        <w:t>En la labor inspectora se atenderá especialmente cuando la vivienda vacacional pueda resultar calificada de infravivienda o se aloje una cantidad igual o mayor que el ciento cincuenta por ciento del número de personas de las que correspondan a la capacidad de la vivienda en consideración con los arts 2 y la Disposición adicional primera de la Ley 6/2025, de 10 de diciembre, de Ordenación Sostenible del Uso Turístico de Viviendas al entenderse que existe riesgo grave para las personas y los bienes</w:t>
      </w:r>
    </w:p>
    <w:p>
      <w:pPr>
        <w:pStyle w:val="BodyText"/>
      </w:pPr>
    </w:p>
    <w:p>
      <w:pPr>
        <w:pStyle w:val="BodyText"/>
        <w:ind w:left="141" w:right="144"/>
        <w:jc w:val="both"/>
      </w:pPr>
      <w:r>
        <w:rPr/>
        <w:t>Infravivienda: la edificación, o parte de ella, destinada a vivienda habitual o turística, que no reúne</w:t>
      </w:r>
      <w:r>
        <w:rPr>
          <w:spacing w:val="7"/>
        </w:rPr>
        <w:t> </w:t>
      </w:r>
      <w:r>
        <w:rPr/>
        <w:t>las</w:t>
      </w:r>
      <w:r>
        <w:rPr>
          <w:spacing w:val="12"/>
        </w:rPr>
        <w:t> </w:t>
      </w:r>
      <w:r>
        <w:rPr/>
        <w:t>condiciones</w:t>
      </w:r>
      <w:r>
        <w:rPr>
          <w:spacing w:val="10"/>
        </w:rPr>
        <w:t> </w:t>
      </w:r>
      <w:r>
        <w:rPr/>
        <w:t>mínimas</w:t>
      </w:r>
      <w:r>
        <w:rPr>
          <w:spacing w:val="10"/>
        </w:rPr>
        <w:t> </w:t>
      </w:r>
      <w:r>
        <w:rPr/>
        <w:t>exigidas</w:t>
      </w:r>
      <w:r>
        <w:rPr>
          <w:spacing w:val="10"/>
        </w:rPr>
        <w:t> </w:t>
      </w:r>
      <w:r>
        <w:rPr/>
        <w:t>de</w:t>
      </w:r>
      <w:r>
        <w:rPr>
          <w:spacing w:val="9"/>
        </w:rPr>
        <w:t> </w:t>
      </w:r>
      <w:r>
        <w:rPr/>
        <w:t>conformidad</w:t>
      </w:r>
      <w:r>
        <w:rPr>
          <w:spacing w:val="10"/>
        </w:rPr>
        <w:t> </w:t>
      </w:r>
      <w:r>
        <w:rPr/>
        <w:t>con</w:t>
      </w:r>
      <w:r>
        <w:rPr>
          <w:spacing w:val="10"/>
        </w:rPr>
        <w:t> </w:t>
      </w:r>
      <w:r>
        <w:rPr/>
        <w:t>la</w:t>
      </w:r>
      <w:r>
        <w:rPr>
          <w:spacing w:val="10"/>
        </w:rPr>
        <w:t> </w:t>
      </w:r>
      <w:r>
        <w:rPr/>
        <w:t>legislación</w:t>
      </w:r>
      <w:r>
        <w:rPr>
          <w:spacing w:val="13"/>
        </w:rPr>
        <w:t> </w:t>
      </w:r>
      <w:r>
        <w:rPr/>
        <w:t>aplicable.</w:t>
      </w:r>
      <w:r>
        <w:rPr>
          <w:spacing w:val="10"/>
        </w:rPr>
        <w:t> </w:t>
      </w:r>
      <w:r>
        <w:rPr/>
        <w:t>En</w:t>
      </w:r>
      <w:r>
        <w:rPr>
          <w:spacing w:val="10"/>
        </w:rPr>
        <w:t> </w:t>
      </w:r>
      <w:r>
        <w:rPr>
          <w:spacing w:val="-4"/>
        </w:rPr>
        <w:t>todo</w:t>
      </w:r>
    </w:p>
    <w:p>
      <w:pPr>
        <w:pStyle w:val="BodyText"/>
        <w:spacing w:after="0"/>
        <w:jc w:val="both"/>
        <w:sectPr>
          <w:pgSz w:w="11910" w:h="16840"/>
          <w:pgMar w:header="698" w:footer="726" w:top="2420" w:bottom="920" w:left="992" w:right="1559"/>
        </w:sectPr>
      </w:pPr>
    </w:p>
    <w:p>
      <w:pPr>
        <w:pStyle w:val="BodyText"/>
        <w:spacing w:before="269"/>
      </w:pPr>
      <w:r>
        <w:rPr/>
        <mc:AlternateContent>
          <mc:Choice Requires="wps">
            <w:drawing>
              <wp:anchor distT="0" distB="0" distL="0" distR="0" allowOverlap="1" layoutInCell="1" locked="0" behindDoc="0" simplePos="0" relativeHeight="15731712">
                <wp:simplePos x="0" y="0"/>
                <wp:positionH relativeFrom="page">
                  <wp:posOffset>309245</wp:posOffset>
                </wp:positionH>
                <wp:positionV relativeFrom="page">
                  <wp:posOffset>3308222</wp:posOffset>
                </wp:positionV>
                <wp:extent cx="1270" cy="1999614"/>
                <wp:effectExtent l="0" t="0" r="0" b="0"/>
                <wp:wrapNone/>
                <wp:docPr id="10" name="Graphic 10"/>
                <wp:cNvGraphicFramePr>
                  <a:graphicFrameLocks/>
                </wp:cNvGraphicFramePr>
                <a:graphic>
                  <a:graphicData uri="http://schemas.microsoft.com/office/word/2010/wordprocessingShape">
                    <wps:wsp>
                      <wps:cNvPr id="10" name="Graphic 10"/>
                      <wps:cNvSpPr/>
                      <wps:spPr>
                        <a:xfrm>
                          <a:off x="0" y="0"/>
                          <a:ext cx="1270" cy="1999614"/>
                        </a:xfrm>
                        <a:custGeom>
                          <a:avLst/>
                          <a:gdLst/>
                          <a:ahLst/>
                          <a:cxnLst/>
                          <a:rect l="l" t="t" r="r" b="b"/>
                          <a:pathLst>
                            <a:path w="0" h="1999614">
                              <a:moveTo>
                                <a:pt x="0" y="1999107"/>
                              </a:moveTo>
                              <a:lnTo>
                                <a:pt x="0" y="0"/>
                              </a:lnTo>
                            </a:path>
                          </a:pathLst>
                        </a:custGeom>
                        <a:ln w="6773">
                          <a:solidFill>
                            <a:srgbClr val="0000FF"/>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31712" from="24.35pt,417.89999pt" to="24.35pt,260.489990pt" stroked="true" strokeweight=".53333pt" strokecolor="#0000ff">
                <v:stroke dashstyle="solid"/>
                <w10:wrap type="none"/>
              </v:line>
            </w:pict>
          </mc:Fallback>
        </mc:AlternateContent>
      </w:r>
      <w:r>
        <w:rPr/>
        <mc:AlternateContent>
          <mc:Choice Requires="wps">
            <w:drawing>
              <wp:anchor distT="0" distB="0" distL="0" distR="0" allowOverlap="1" layoutInCell="1" locked="0" behindDoc="0" simplePos="0" relativeHeight="15732224">
                <wp:simplePos x="0" y="0"/>
                <wp:positionH relativeFrom="page">
                  <wp:posOffset>7592</wp:posOffset>
                </wp:positionH>
                <wp:positionV relativeFrom="page">
                  <wp:posOffset>1901502</wp:posOffset>
                </wp:positionV>
                <wp:extent cx="302260" cy="739394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302260" cy="7393940"/>
                        </a:xfrm>
                        <a:prstGeom prst="rect">
                          <a:avLst/>
                        </a:prstGeom>
                      </wps:spPr>
                      <wps:txbx>
                        <w:txbxContent>
                          <w:p>
                            <w:pPr>
                              <w:spacing w:before="14"/>
                              <w:ind w:left="20" w:right="0" w:firstLine="0"/>
                              <w:jc w:val="left"/>
                              <w:rPr>
                                <w:rFonts w:ascii="Arial MT" w:hAnsi="Arial MT"/>
                                <w:sz w:val="16"/>
                              </w:rPr>
                            </w:pPr>
                            <w:r>
                              <w:rPr>
                                <w:rFonts w:ascii="Arial MT" w:hAnsi="Arial MT"/>
                                <w:sz w:val="16"/>
                              </w:rPr>
                              <w:t>Ayuntamiento de Tías - Nº de registro del : - CSV: 16340776230733166363 Esta es una copia auténtica de documento original electrónico según la Ley 39/2015 </w:t>
                            </w:r>
                            <w:r>
                              <w:rPr>
                                <w:rFonts w:ascii="Arial MT" w:hAnsi="Arial MT"/>
                                <w:spacing w:val="-5"/>
                                <w:sz w:val="16"/>
                              </w:rPr>
                              <w:t>de</w:t>
                            </w:r>
                          </w:p>
                          <w:p>
                            <w:pPr>
                              <w:spacing w:before="73"/>
                              <w:ind w:left="20" w:right="0" w:firstLine="0"/>
                              <w:jc w:val="left"/>
                              <w:rPr>
                                <w:rFonts w:ascii="Arial MT" w:hAnsi="Arial MT"/>
                                <w:sz w:val="16"/>
                              </w:rPr>
                            </w:pPr>
                            <w:r>
                              <w:rPr>
                                <w:rFonts w:ascii="Arial MT" w:hAnsi="Arial MT"/>
                                <w:sz w:val="16"/>
                              </w:rPr>
                              <w:t>Procedimiento Administrativo Común Electrónico. Puede comprobar su autenticidad en: </w:t>
                            </w:r>
                            <w:hyperlink r:id="rId7">
                              <w:r>
                                <w:rPr>
                                  <w:rFonts w:ascii="Arial MT" w:hAnsi="Arial MT"/>
                                  <w:color w:val="0000FF"/>
                                  <w:spacing w:val="-2"/>
                                  <w:sz w:val="16"/>
                                </w:rPr>
                                <w:t>http://sede.ayuntamientodetias.es/validacion</w:t>
                              </w:r>
                            </w:hyperlink>
                          </w:p>
                        </w:txbxContent>
                      </wps:txbx>
                      <wps:bodyPr wrap="square" lIns="0" tIns="0" rIns="0" bIns="0" rtlCol="0" vert="vert270">
                        <a:noAutofit/>
                      </wps:bodyPr>
                    </wps:wsp>
                  </a:graphicData>
                </a:graphic>
              </wp:anchor>
            </w:drawing>
          </mc:Choice>
          <mc:Fallback>
            <w:pict>
              <v:shape style="position:absolute;margin-left:.597812pt;margin-top:149.72464pt;width:23.8pt;height:582.2pt;mso-position-horizontal-relative:page;mso-position-vertical-relative:page;z-index:15732224" type="#_x0000_t202" id="docshape6" filled="false" stroked="false">
                <v:textbox inset="0,0,0,0" style="layout-flow:vertical;mso-layout-flow-alt:bottom-to-top">
                  <w:txbxContent>
                    <w:p>
                      <w:pPr>
                        <w:spacing w:before="14"/>
                        <w:ind w:left="20" w:right="0" w:firstLine="0"/>
                        <w:jc w:val="left"/>
                        <w:rPr>
                          <w:rFonts w:ascii="Arial MT" w:hAnsi="Arial MT"/>
                          <w:sz w:val="16"/>
                        </w:rPr>
                      </w:pPr>
                      <w:r>
                        <w:rPr>
                          <w:rFonts w:ascii="Arial MT" w:hAnsi="Arial MT"/>
                          <w:sz w:val="16"/>
                        </w:rPr>
                        <w:t>Ayuntamiento de Tías - Nº de registro del : - CSV: 16340776230733166363 Esta es una copia auténtica de documento original electrónico según la Ley 39/2015 </w:t>
                      </w:r>
                      <w:r>
                        <w:rPr>
                          <w:rFonts w:ascii="Arial MT" w:hAnsi="Arial MT"/>
                          <w:spacing w:val="-5"/>
                          <w:sz w:val="16"/>
                        </w:rPr>
                        <w:t>de</w:t>
                      </w:r>
                    </w:p>
                    <w:p>
                      <w:pPr>
                        <w:spacing w:before="73"/>
                        <w:ind w:left="20" w:right="0" w:firstLine="0"/>
                        <w:jc w:val="left"/>
                        <w:rPr>
                          <w:rFonts w:ascii="Arial MT" w:hAnsi="Arial MT"/>
                          <w:sz w:val="16"/>
                        </w:rPr>
                      </w:pPr>
                      <w:r>
                        <w:rPr>
                          <w:rFonts w:ascii="Arial MT" w:hAnsi="Arial MT"/>
                          <w:sz w:val="16"/>
                        </w:rPr>
                        <w:t>Procedimiento Administrativo Común Electrónico. Puede comprobar su autenticidad en: </w:t>
                      </w:r>
                      <w:hyperlink r:id="rId7">
                        <w:r>
                          <w:rPr>
                            <w:rFonts w:ascii="Arial MT" w:hAnsi="Arial MT"/>
                            <w:color w:val="0000FF"/>
                            <w:spacing w:val="-2"/>
                            <w:sz w:val="16"/>
                          </w:rPr>
                          <w:t>http://sede.ayuntamientodetias.es/validacion</w:t>
                        </w:r>
                      </w:hyperlink>
                    </w:p>
                  </w:txbxContent>
                </v:textbox>
                <w10:wrap type="none"/>
              </v:shape>
            </w:pict>
          </mc:Fallback>
        </mc:AlternateContent>
      </w:r>
    </w:p>
    <w:p>
      <w:pPr>
        <w:pStyle w:val="BodyText"/>
        <w:spacing w:before="1"/>
        <w:ind w:left="141" w:right="146"/>
        <w:jc w:val="both"/>
      </w:pPr>
      <w:r>
        <w:rPr/>
        <w:t>caso, se entenderá que no reúnen dichas condiciones las viviendas que incumplan los requisitos de superficie, número, dimensión y características de las piezas habitables, las que presenten deficiencias graves en sus dotaciones e instalaciones básicas y las que no cumplan los requisitos mínimos de seguridad, accesibilidad universal y habitabilidad exigibles a la </w:t>
      </w:r>
      <w:r>
        <w:rPr>
          <w:spacing w:val="-2"/>
        </w:rPr>
        <w:t>edificación.</w:t>
      </w:r>
    </w:p>
    <w:p>
      <w:pPr>
        <w:pStyle w:val="BodyText"/>
        <w:ind w:left="141" w:right="144"/>
        <w:jc w:val="both"/>
      </w:pPr>
      <w:r>
        <w:rPr/>
        <w:t>Entre otros, se consideran infraviviendas, espacios o habitáculos tales como, contenedores marítimos, cabañas autoconstruidas con madera, chapa metálica o materiales similares,</w:t>
      </w:r>
      <w:r>
        <w:rPr>
          <w:spacing w:val="40"/>
        </w:rPr>
        <w:t> </w:t>
      </w:r>
      <w:r>
        <w:rPr/>
        <w:t>tiendas de campaña o similares ubicadas fuera de las zonas específicamente habilitadas para</w:t>
      </w:r>
      <w:r>
        <w:rPr>
          <w:spacing w:val="40"/>
        </w:rPr>
        <w:t> </w:t>
      </w:r>
      <w:r>
        <w:rPr/>
        <w:t>su emplazamiento, tales como azoteas, garajes, zonas comunes de edificaciones, dominio público, etc., vehículos no autorizados para la pernoctación de personas y cualquier otro artilugio o elemento similar.</w:t>
      </w:r>
    </w:p>
    <w:p>
      <w:pPr>
        <w:pStyle w:val="BodyText"/>
      </w:pPr>
    </w:p>
    <w:p>
      <w:pPr>
        <w:pStyle w:val="BodyText"/>
        <w:ind w:left="141"/>
        <w:jc w:val="both"/>
      </w:pPr>
      <w:r>
        <w:rPr/>
        <w:t>Disposición</w:t>
      </w:r>
      <w:r>
        <w:rPr>
          <w:spacing w:val="-3"/>
        </w:rPr>
        <w:t> </w:t>
      </w:r>
      <w:r>
        <w:rPr/>
        <w:t>adicional</w:t>
      </w:r>
      <w:r>
        <w:rPr>
          <w:spacing w:val="-1"/>
        </w:rPr>
        <w:t> </w:t>
      </w:r>
      <w:r>
        <w:rPr/>
        <w:t>primera.</w:t>
      </w:r>
      <w:r>
        <w:rPr>
          <w:spacing w:val="-1"/>
        </w:rPr>
        <w:t> </w:t>
      </w:r>
      <w:r>
        <w:rPr/>
        <w:t>Clausura</w:t>
      </w:r>
      <w:r>
        <w:rPr>
          <w:spacing w:val="-2"/>
        </w:rPr>
        <w:t> </w:t>
      </w:r>
      <w:r>
        <w:rPr/>
        <w:t>y</w:t>
      </w:r>
      <w:r>
        <w:rPr>
          <w:spacing w:val="1"/>
        </w:rPr>
        <w:t> </w:t>
      </w:r>
      <w:r>
        <w:rPr/>
        <w:t>cese</w:t>
      </w:r>
      <w:r>
        <w:rPr>
          <w:spacing w:val="-2"/>
        </w:rPr>
        <w:t> </w:t>
      </w:r>
      <w:r>
        <w:rPr/>
        <w:t>de la </w:t>
      </w:r>
      <w:r>
        <w:rPr>
          <w:spacing w:val="-2"/>
        </w:rPr>
        <w:t>actividad.</w:t>
      </w:r>
    </w:p>
    <w:p>
      <w:pPr>
        <w:pStyle w:val="ListParagraph"/>
        <w:numPr>
          <w:ilvl w:val="0"/>
          <w:numId w:val="2"/>
        </w:numPr>
        <w:tabs>
          <w:tab w:pos="381" w:val="left" w:leader="none"/>
        </w:tabs>
        <w:spacing w:line="240" w:lineRule="auto" w:before="0" w:after="0"/>
        <w:ind w:left="141" w:right="140" w:firstLine="0"/>
        <w:jc w:val="both"/>
        <w:rPr>
          <w:sz w:val="24"/>
        </w:rPr>
      </w:pPr>
      <w:r>
        <w:rPr>
          <w:sz w:val="24"/>
        </w:rPr>
        <w:t>A</w:t>
      </w:r>
      <w:r>
        <w:rPr>
          <w:spacing w:val="-3"/>
          <w:sz w:val="24"/>
        </w:rPr>
        <w:t> </w:t>
      </w:r>
      <w:r>
        <w:rPr>
          <w:sz w:val="24"/>
        </w:rPr>
        <w:t>los</w:t>
      </w:r>
      <w:r>
        <w:rPr>
          <w:spacing w:val="-3"/>
          <w:sz w:val="24"/>
        </w:rPr>
        <w:t> </w:t>
      </w:r>
      <w:r>
        <w:rPr>
          <w:sz w:val="24"/>
        </w:rPr>
        <w:t>efectos</w:t>
      </w:r>
      <w:r>
        <w:rPr>
          <w:spacing w:val="-3"/>
          <w:sz w:val="24"/>
        </w:rPr>
        <w:t> </w:t>
      </w:r>
      <w:r>
        <w:rPr>
          <w:sz w:val="24"/>
        </w:rPr>
        <w:t>de</w:t>
      </w:r>
      <w:r>
        <w:rPr>
          <w:spacing w:val="-3"/>
          <w:sz w:val="24"/>
        </w:rPr>
        <w:t> </w:t>
      </w:r>
      <w:r>
        <w:rPr>
          <w:sz w:val="24"/>
        </w:rPr>
        <w:t>la</w:t>
      </w:r>
      <w:r>
        <w:rPr>
          <w:spacing w:val="-1"/>
          <w:sz w:val="24"/>
        </w:rPr>
        <w:t> </w:t>
      </w:r>
      <w:r>
        <w:rPr>
          <w:sz w:val="24"/>
        </w:rPr>
        <w:t>aplicación</w:t>
      </w:r>
      <w:r>
        <w:rPr>
          <w:spacing w:val="-2"/>
          <w:sz w:val="24"/>
        </w:rPr>
        <w:t> </w:t>
      </w:r>
      <w:r>
        <w:rPr>
          <w:sz w:val="24"/>
        </w:rPr>
        <w:t>del</w:t>
      </w:r>
      <w:r>
        <w:rPr>
          <w:spacing w:val="-2"/>
          <w:sz w:val="24"/>
        </w:rPr>
        <w:t> </w:t>
      </w:r>
      <w:r>
        <w:rPr>
          <w:sz w:val="24"/>
        </w:rPr>
        <w:t>régimen</w:t>
      </w:r>
      <w:r>
        <w:rPr>
          <w:spacing w:val="-2"/>
          <w:sz w:val="24"/>
        </w:rPr>
        <w:t> </w:t>
      </w:r>
      <w:r>
        <w:rPr>
          <w:sz w:val="24"/>
        </w:rPr>
        <w:t>previsto</w:t>
      </w:r>
      <w:r>
        <w:rPr>
          <w:spacing w:val="-2"/>
          <w:sz w:val="24"/>
        </w:rPr>
        <w:t> </w:t>
      </w:r>
      <w:r>
        <w:rPr>
          <w:sz w:val="24"/>
        </w:rPr>
        <w:t>en</w:t>
      </w:r>
      <w:r>
        <w:rPr>
          <w:spacing w:val="-2"/>
          <w:sz w:val="24"/>
        </w:rPr>
        <w:t> </w:t>
      </w:r>
      <w:r>
        <w:rPr>
          <w:sz w:val="24"/>
        </w:rPr>
        <w:t>los</w:t>
      </w:r>
      <w:r>
        <w:rPr>
          <w:spacing w:val="-2"/>
          <w:sz w:val="24"/>
        </w:rPr>
        <w:t> </w:t>
      </w:r>
      <w:r>
        <w:rPr>
          <w:sz w:val="24"/>
        </w:rPr>
        <w:t>artículos</w:t>
      </w:r>
      <w:r>
        <w:rPr>
          <w:spacing w:val="-3"/>
          <w:sz w:val="24"/>
        </w:rPr>
        <w:t> </w:t>
      </w:r>
      <w:r>
        <w:rPr>
          <w:sz w:val="24"/>
        </w:rPr>
        <w:t>56,</w:t>
      </w:r>
      <w:r>
        <w:rPr>
          <w:spacing w:val="-2"/>
          <w:sz w:val="24"/>
        </w:rPr>
        <w:t> </w:t>
      </w:r>
      <w:r>
        <w:rPr>
          <w:sz w:val="24"/>
        </w:rPr>
        <w:t>57</w:t>
      </w:r>
      <w:r>
        <w:rPr>
          <w:spacing w:val="-2"/>
          <w:sz w:val="24"/>
        </w:rPr>
        <w:t> </w:t>
      </w:r>
      <w:r>
        <w:rPr>
          <w:sz w:val="24"/>
        </w:rPr>
        <w:t>y</w:t>
      </w:r>
      <w:r>
        <w:rPr>
          <w:spacing w:val="-2"/>
          <w:sz w:val="24"/>
        </w:rPr>
        <w:t> </w:t>
      </w:r>
      <w:r>
        <w:rPr>
          <w:sz w:val="24"/>
        </w:rPr>
        <w:t>concordantes</w:t>
      </w:r>
      <w:r>
        <w:rPr>
          <w:spacing w:val="-1"/>
          <w:sz w:val="24"/>
        </w:rPr>
        <w:t> </w:t>
      </w:r>
      <w:r>
        <w:rPr>
          <w:sz w:val="24"/>
        </w:rPr>
        <w:t>de la Ley 7/2011, de 5 de abril, de actividades clasificadas y espectáculos públicos y otras medidas administrativas complementarias, o normativa que la sustituya, se considera que existe riesgo grave para las personas y los bienes cuando se detecte que en una vivienda de</w:t>
      </w:r>
      <w:r>
        <w:rPr>
          <w:spacing w:val="40"/>
          <w:sz w:val="24"/>
        </w:rPr>
        <w:t> </w:t>
      </w:r>
      <w:r>
        <w:rPr>
          <w:sz w:val="24"/>
        </w:rPr>
        <w:t>uso turístico, legalizada o no, se aloja una cantidad igual o mayor que el ciento cincuenta por ciento del número de personas de las que correspondan a la capacidad de la vivienda, establecida por el número de dormitorios y ocupación según los criterios de esta ley, o según los datos incluidos en la declaración responsable de ocupación de inmuebles o instalaciones,</w:t>
      </w:r>
      <w:r>
        <w:rPr>
          <w:spacing w:val="40"/>
          <w:sz w:val="24"/>
        </w:rPr>
        <w:t> </w:t>
      </w:r>
      <w:r>
        <w:rPr>
          <w:sz w:val="24"/>
        </w:rPr>
        <w:t>o, en su caso, la cédula de habitabilidad o licencia de primera ocupación o documento </w:t>
      </w:r>
      <w:r>
        <w:rPr>
          <w:spacing w:val="-2"/>
          <w:sz w:val="24"/>
        </w:rPr>
        <w:t>equivalente.</w:t>
      </w:r>
    </w:p>
    <w:p>
      <w:pPr>
        <w:pStyle w:val="ListParagraph"/>
        <w:numPr>
          <w:ilvl w:val="0"/>
          <w:numId w:val="2"/>
        </w:numPr>
        <w:tabs>
          <w:tab w:pos="404" w:val="left" w:leader="none"/>
        </w:tabs>
        <w:spacing w:line="240" w:lineRule="auto" w:before="1" w:after="0"/>
        <w:ind w:left="141" w:right="143" w:firstLine="0"/>
        <w:jc w:val="both"/>
        <w:rPr>
          <w:sz w:val="24"/>
        </w:rPr>
      </w:pPr>
      <w:r>
        <w:rPr>
          <w:sz w:val="24"/>
        </w:rPr>
        <w:t>Igualmente se considera que existe riesgo grave para las personas y los bienes cuando se detecte el uso turístico de hospedaje en infraviviendas, azoteas, garajes, locales comerciales, obras en ejecución o en instalaciones con acumulación de materiales de construcción o de almacenaje de mercancías.</w:t>
      </w:r>
    </w:p>
    <w:p>
      <w:pPr>
        <w:pStyle w:val="BodyText"/>
      </w:pPr>
    </w:p>
    <w:p>
      <w:pPr>
        <w:pStyle w:val="BodyText"/>
      </w:pPr>
    </w:p>
    <w:p>
      <w:pPr>
        <w:pStyle w:val="Heading2"/>
        <w:rPr>
          <w:u w:val="none"/>
        </w:rPr>
      </w:pPr>
      <w:r>
        <w:rPr>
          <w:u w:val="single"/>
        </w:rPr>
        <w:t>11.-</w:t>
      </w:r>
      <w:r>
        <w:rPr>
          <w:spacing w:val="-1"/>
          <w:u w:val="single"/>
        </w:rPr>
        <w:t> </w:t>
      </w:r>
      <w:r>
        <w:rPr>
          <w:spacing w:val="-2"/>
          <w:u w:val="single"/>
        </w:rPr>
        <w:t>PUBLICIDAD</w:t>
      </w:r>
    </w:p>
    <w:p>
      <w:pPr>
        <w:pStyle w:val="BodyText"/>
      </w:pPr>
    </w:p>
    <w:p>
      <w:pPr>
        <w:pStyle w:val="BodyText"/>
        <w:ind w:left="141" w:right="139"/>
        <w:jc w:val="both"/>
      </w:pPr>
      <w:r>
        <w:rPr/>
        <w:t>El presente plan una vez aprobado por la Alcaldía ( art. 21.1 s) Ley 7/1985, de 2 de abril, Reguladora</w:t>
      </w:r>
      <w:r>
        <w:rPr>
          <w:spacing w:val="-2"/>
        </w:rPr>
        <w:t> </w:t>
      </w:r>
      <w:r>
        <w:rPr/>
        <w:t>de</w:t>
      </w:r>
      <w:r>
        <w:rPr>
          <w:spacing w:val="-2"/>
        </w:rPr>
        <w:t> </w:t>
      </w:r>
      <w:r>
        <w:rPr/>
        <w:t>las</w:t>
      </w:r>
      <w:r>
        <w:rPr>
          <w:spacing w:val="-2"/>
        </w:rPr>
        <w:t> </w:t>
      </w:r>
      <w:r>
        <w:rPr/>
        <w:t>Bases del</w:t>
      </w:r>
      <w:r>
        <w:rPr>
          <w:spacing w:val="-1"/>
        </w:rPr>
        <w:t> </w:t>
      </w:r>
      <w:r>
        <w:rPr/>
        <w:t>Régimen</w:t>
      </w:r>
      <w:r>
        <w:rPr>
          <w:spacing w:val="-1"/>
        </w:rPr>
        <w:t> </w:t>
      </w:r>
      <w:r>
        <w:rPr/>
        <w:t>Local será objeto</w:t>
      </w:r>
      <w:r>
        <w:rPr>
          <w:spacing w:val="-1"/>
        </w:rPr>
        <w:t> </w:t>
      </w:r>
      <w:r>
        <w:rPr/>
        <w:t>de</w:t>
      </w:r>
      <w:r>
        <w:rPr>
          <w:spacing w:val="-2"/>
        </w:rPr>
        <w:t> </w:t>
      </w:r>
      <w:r>
        <w:rPr/>
        <w:t>publicación</w:t>
      </w:r>
      <w:r>
        <w:rPr>
          <w:spacing w:val="-1"/>
        </w:rPr>
        <w:t> </w:t>
      </w:r>
      <w:r>
        <w:rPr/>
        <w:t>en</w:t>
      </w:r>
      <w:r>
        <w:rPr>
          <w:spacing w:val="-1"/>
        </w:rPr>
        <w:t> </w:t>
      </w:r>
      <w:r>
        <w:rPr/>
        <w:t>el</w:t>
      </w:r>
      <w:r>
        <w:rPr>
          <w:spacing w:val="-1"/>
        </w:rPr>
        <w:t> </w:t>
      </w:r>
      <w:r>
        <w:rPr/>
        <w:t>Boletín</w:t>
      </w:r>
      <w:r>
        <w:rPr>
          <w:spacing w:val="-1"/>
        </w:rPr>
        <w:t> </w:t>
      </w:r>
      <w:r>
        <w:rPr/>
        <w:t>oficial</w:t>
      </w:r>
      <w:r>
        <w:rPr>
          <w:spacing w:val="-1"/>
        </w:rPr>
        <w:t> </w:t>
      </w:r>
      <w:r>
        <w:rPr/>
        <w:t>de la provincia de Las Palmas, en el tablón de anuncios del ayuntamiento, y en el portal de transparencia de conformidad con los artículos 45 Ley 39/2015, de 1 de octubre, del Procedimiento Administrativo Común de las Administraciones Públicas y 6.2 Ley 19/2013,</w:t>
      </w:r>
      <w:r>
        <w:rPr>
          <w:spacing w:val="40"/>
        </w:rPr>
        <w:t> </w:t>
      </w:r>
      <w:r>
        <w:rPr/>
        <w:t>de 9 de diciembre, de transparencia, acceso a la información pública y buen gobierno.</w:t>
      </w:r>
    </w:p>
    <w:sectPr>
      <w:pgSz w:w="11910" w:h="16840"/>
      <w:pgMar w:header="698" w:footer="726" w:top="2420" w:bottom="920" w:left="992"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Georgia">
    <w:altName w:val="Georg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06944">
              <wp:simplePos x="0" y="0"/>
              <wp:positionH relativeFrom="page">
                <wp:posOffset>6379464</wp:posOffset>
              </wp:positionH>
              <wp:positionV relativeFrom="page">
                <wp:posOffset>10091477</wp:posOffset>
              </wp:positionV>
              <wp:extent cx="15240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52400" cy="165735"/>
                      </a:xfrm>
                      <a:prstGeom prst="rect">
                        <a:avLst/>
                      </a:prstGeom>
                    </wps:spPr>
                    <wps:txbx>
                      <w:txbxContent>
                        <w:p>
                          <w:pPr>
                            <w:spacing w:before="10"/>
                            <w:ind w:left="60" w:right="0" w:firstLine="0"/>
                            <w:jc w:val="left"/>
                            <w:rPr>
                              <w:sz w:val="20"/>
                            </w:rPr>
                          </w:pP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502.320007pt;margin-top:794.604492pt;width:12pt;height:13.05pt;mso-position-horizontal-relative:page;mso-position-vertical-relative:page;z-index:-15809536" type="#_x0000_t202" id="docshape2" filled="false" stroked="false">
              <v:textbox inset="0,0,0,0">
                <w:txbxContent>
                  <w:p>
                    <w:pPr>
                      <w:spacing w:before="10"/>
                      <w:ind w:left="60" w:right="0" w:firstLine="0"/>
                      <w:jc w:val="left"/>
                      <w:rPr>
                        <w:sz w:val="20"/>
                      </w:rPr>
                    </w:pPr>
                    <w:r>
                      <w:rPr>
                        <w:spacing w:val="-10"/>
                        <w:sz w:val="20"/>
                      </w:rPr>
                      <w:fldChar w:fldCharType="begin"/>
                    </w:r>
                    <w:r>
                      <w:rPr>
                        <w:spacing w:val="-10"/>
                        <w:sz w:val="20"/>
                      </w:rPr>
                      <w:instrText> PAGE </w:instrText>
                    </w:r>
                    <w:r>
                      <w:rPr>
                        <w:spacing w:val="-10"/>
                        <w:sz w:val="20"/>
                      </w:rPr>
                      <w:fldChar w:fldCharType="separate"/>
                    </w:r>
                    <w:r>
                      <w:rPr>
                        <w:spacing w:val="-10"/>
                        <w:sz w:val="20"/>
                      </w:rPr>
                      <w:t>1</w:t>
                    </w:r>
                    <w:r>
                      <w:rPr>
                        <w:spacing w:val="-10"/>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505920">
          <wp:simplePos x="0" y="0"/>
          <wp:positionH relativeFrom="page">
            <wp:posOffset>1254760</wp:posOffset>
          </wp:positionH>
          <wp:positionV relativeFrom="page">
            <wp:posOffset>443229</wp:posOffset>
          </wp:positionV>
          <wp:extent cx="508000" cy="7874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08000" cy="78740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06432">
              <wp:simplePos x="0" y="0"/>
              <wp:positionH relativeFrom="page">
                <wp:posOffset>713028</wp:posOffset>
              </wp:positionH>
              <wp:positionV relativeFrom="page">
                <wp:posOffset>1387941</wp:posOffset>
              </wp:positionV>
              <wp:extent cx="1589405" cy="16954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589405" cy="169545"/>
                      </a:xfrm>
                      <a:prstGeom prst="rect">
                        <a:avLst/>
                      </a:prstGeom>
                    </wps:spPr>
                    <wps:txbx>
                      <w:txbxContent>
                        <w:p>
                          <w:pPr>
                            <w:spacing w:before="19"/>
                            <w:ind w:left="20" w:right="0" w:firstLine="0"/>
                            <w:jc w:val="left"/>
                            <w:rPr>
                              <w:rFonts w:ascii="Georgia" w:hAnsi="Georgia"/>
                              <w:sz w:val="20"/>
                            </w:rPr>
                          </w:pPr>
                          <w:r>
                            <w:rPr>
                              <w:rFonts w:ascii="Georgia" w:hAnsi="Georgia"/>
                              <w:sz w:val="20"/>
                            </w:rPr>
                            <w:t>AYUNTAMIENTO</w:t>
                          </w:r>
                          <w:r>
                            <w:rPr>
                              <w:rFonts w:ascii="Georgia" w:hAnsi="Georgia"/>
                              <w:spacing w:val="-12"/>
                              <w:sz w:val="20"/>
                            </w:rPr>
                            <w:t> </w:t>
                          </w:r>
                          <w:r>
                            <w:rPr>
                              <w:rFonts w:ascii="Georgia" w:hAnsi="Georgia"/>
                              <w:sz w:val="20"/>
                            </w:rPr>
                            <w:t>DE</w:t>
                          </w:r>
                          <w:r>
                            <w:rPr>
                              <w:rFonts w:ascii="Georgia" w:hAnsi="Georgia"/>
                              <w:spacing w:val="-11"/>
                              <w:sz w:val="20"/>
                            </w:rPr>
                            <w:t> </w:t>
                          </w:r>
                          <w:r>
                            <w:rPr>
                              <w:rFonts w:ascii="Georgia" w:hAnsi="Georgia"/>
                              <w:spacing w:val="-4"/>
                              <w:sz w:val="20"/>
                            </w:rPr>
                            <w:t>TÍAS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144001pt;margin-top:109.286743pt;width:125.15pt;height:13.35pt;mso-position-horizontal-relative:page;mso-position-vertical-relative:page;z-index:-15810048" type="#_x0000_t202" id="docshape1" filled="false" stroked="false">
              <v:textbox inset="0,0,0,0">
                <w:txbxContent>
                  <w:p>
                    <w:pPr>
                      <w:spacing w:before="19"/>
                      <w:ind w:left="20" w:right="0" w:firstLine="0"/>
                      <w:jc w:val="left"/>
                      <w:rPr>
                        <w:rFonts w:ascii="Georgia" w:hAnsi="Georgia"/>
                        <w:sz w:val="20"/>
                      </w:rPr>
                    </w:pPr>
                    <w:r>
                      <w:rPr>
                        <w:rFonts w:ascii="Georgia" w:hAnsi="Georgia"/>
                        <w:sz w:val="20"/>
                      </w:rPr>
                      <w:t>AYUNTAMIENTO</w:t>
                    </w:r>
                    <w:r>
                      <w:rPr>
                        <w:rFonts w:ascii="Georgia" w:hAnsi="Georgia"/>
                        <w:spacing w:val="-12"/>
                        <w:sz w:val="20"/>
                      </w:rPr>
                      <w:t> </w:t>
                    </w:r>
                    <w:r>
                      <w:rPr>
                        <w:rFonts w:ascii="Georgia" w:hAnsi="Georgia"/>
                        <w:sz w:val="20"/>
                      </w:rPr>
                      <w:t>DE</w:t>
                    </w:r>
                    <w:r>
                      <w:rPr>
                        <w:rFonts w:ascii="Georgia" w:hAnsi="Georgia"/>
                        <w:spacing w:val="-11"/>
                        <w:sz w:val="20"/>
                      </w:rPr>
                      <w:t> </w:t>
                    </w:r>
                    <w:r>
                      <w:rPr>
                        <w:rFonts w:ascii="Georgia" w:hAnsi="Georgia"/>
                        <w:spacing w:val="-4"/>
                        <w:sz w:val="20"/>
                      </w:rPr>
                      <w:t>TÍAS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41" w:hanging="2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1061" w:hanging="240"/>
      </w:pPr>
      <w:rPr>
        <w:rFonts w:hint="default"/>
        <w:lang w:val="es-ES" w:eastAsia="en-US" w:bidi="ar-SA"/>
      </w:rPr>
    </w:lvl>
    <w:lvl w:ilvl="2">
      <w:start w:val="0"/>
      <w:numFmt w:val="bullet"/>
      <w:lvlText w:val="•"/>
      <w:lvlJc w:val="left"/>
      <w:pPr>
        <w:ind w:left="1983" w:hanging="240"/>
      </w:pPr>
      <w:rPr>
        <w:rFonts w:hint="default"/>
        <w:lang w:val="es-ES" w:eastAsia="en-US" w:bidi="ar-SA"/>
      </w:rPr>
    </w:lvl>
    <w:lvl w:ilvl="3">
      <w:start w:val="0"/>
      <w:numFmt w:val="bullet"/>
      <w:lvlText w:val="•"/>
      <w:lvlJc w:val="left"/>
      <w:pPr>
        <w:ind w:left="2904" w:hanging="240"/>
      </w:pPr>
      <w:rPr>
        <w:rFonts w:hint="default"/>
        <w:lang w:val="es-ES" w:eastAsia="en-US" w:bidi="ar-SA"/>
      </w:rPr>
    </w:lvl>
    <w:lvl w:ilvl="4">
      <w:start w:val="0"/>
      <w:numFmt w:val="bullet"/>
      <w:lvlText w:val="•"/>
      <w:lvlJc w:val="left"/>
      <w:pPr>
        <w:ind w:left="3826" w:hanging="240"/>
      </w:pPr>
      <w:rPr>
        <w:rFonts w:hint="default"/>
        <w:lang w:val="es-ES" w:eastAsia="en-US" w:bidi="ar-SA"/>
      </w:rPr>
    </w:lvl>
    <w:lvl w:ilvl="5">
      <w:start w:val="0"/>
      <w:numFmt w:val="bullet"/>
      <w:lvlText w:val="•"/>
      <w:lvlJc w:val="left"/>
      <w:pPr>
        <w:ind w:left="4747" w:hanging="240"/>
      </w:pPr>
      <w:rPr>
        <w:rFonts w:hint="default"/>
        <w:lang w:val="es-ES" w:eastAsia="en-US" w:bidi="ar-SA"/>
      </w:rPr>
    </w:lvl>
    <w:lvl w:ilvl="6">
      <w:start w:val="0"/>
      <w:numFmt w:val="bullet"/>
      <w:lvlText w:val="•"/>
      <w:lvlJc w:val="left"/>
      <w:pPr>
        <w:ind w:left="5669" w:hanging="240"/>
      </w:pPr>
      <w:rPr>
        <w:rFonts w:hint="default"/>
        <w:lang w:val="es-ES" w:eastAsia="en-US" w:bidi="ar-SA"/>
      </w:rPr>
    </w:lvl>
    <w:lvl w:ilvl="7">
      <w:start w:val="0"/>
      <w:numFmt w:val="bullet"/>
      <w:lvlText w:val="•"/>
      <w:lvlJc w:val="left"/>
      <w:pPr>
        <w:ind w:left="6590" w:hanging="240"/>
      </w:pPr>
      <w:rPr>
        <w:rFonts w:hint="default"/>
        <w:lang w:val="es-ES" w:eastAsia="en-US" w:bidi="ar-SA"/>
      </w:rPr>
    </w:lvl>
    <w:lvl w:ilvl="8">
      <w:start w:val="0"/>
      <w:numFmt w:val="bullet"/>
      <w:lvlText w:val="•"/>
      <w:lvlJc w:val="left"/>
      <w:pPr>
        <w:ind w:left="7512" w:hanging="240"/>
      </w:pPr>
      <w:rPr>
        <w:rFonts w:hint="default"/>
        <w:lang w:val="es-ES" w:eastAsia="en-US" w:bidi="ar-SA"/>
      </w:rPr>
    </w:lvl>
  </w:abstractNum>
  <w:abstractNum w:abstractNumId="0">
    <w:multiLevelType w:val="hybridMultilevel"/>
    <w:lvl w:ilvl="0">
      <w:start w:val="0"/>
      <w:numFmt w:val="bullet"/>
      <w:lvlText w:val="-"/>
      <w:lvlJc w:val="left"/>
      <w:pPr>
        <w:ind w:left="141" w:hanging="233"/>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1061" w:hanging="233"/>
      </w:pPr>
      <w:rPr>
        <w:rFonts w:hint="default"/>
        <w:lang w:val="es-ES" w:eastAsia="en-US" w:bidi="ar-SA"/>
      </w:rPr>
    </w:lvl>
    <w:lvl w:ilvl="2">
      <w:start w:val="0"/>
      <w:numFmt w:val="bullet"/>
      <w:lvlText w:val="•"/>
      <w:lvlJc w:val="left"/>
      <w:pPr>
        <w:ind w:left="1983" w:hanging="233"/>
      </w:pPr>
      <w:rPr>
        <w:rFonts w:hint="default"/>
        <w:lang w:val="es-ES" w:eastAsia="en-US" w:bidi="ar-SA"/>
      </w:rPr>
    </w:lvl>
    <w:lvl w:ilvl="3">
      <w:start w:val="0"/>
      <w:numFmt w:val="bullet"/>
      <w:lvlText w:val="•"/>
      <w:lvlJc w:val="left"/>
      <w:pPr>
        <w:ind w:left="2904" w:hanging="233"/>
      </w:pPr>
      <w:rPr>
        <w:rFonts w:hint="default"/>
        <w:lang w:val="es-ES" w:eastAsia="en-US" w:bidi="ar-SA"/>
      </w:rPr>
    </w:lvl>
    <w:lvl w:ilvl="4">
      <w:start w:val="0"/>
      <w:numFmt w:val="bullet"/>
      <w:lvlText w:val="•"/>
      <w:lvlJc w:val="left"/>
      <w:pPr>
        <w:ind w:left="3826" w:hanging="233"/>
      </w:pPr>
      <w:rPr>
        <w:rFonts w:hint="default"/>
        <w:lang w:val="es-ES" w:eastAsia="en-US" w:bidi="ar-SA"/>
      </w:rPr>
    </w:lvl>
    <w:lvl w:ilvl="5">
      <w:start w:val="0"/>
      <w:numFmt w:val="bullet"/>
      <w:lvlText w:val="•"/>
      <w:lvlJc w:val="left"/>
      <w:pPr>
        <w:ind w:left="4747" w:hanging="233"/>
      </w:pPr>
      <w:rPr>
        <w:rFonts w:hint="default"/>
        <w:lang w:val="es-ES" w:eastAsia="en-US" w:bidi="ar-SA"/>
      </w:rPr>
    </w:lvl>
    <w:lvl w:ilvl="6">
      <w:start w:val="0"/>
      <w:numFmt w:val="bullet"/>
      <w:lvlText w:val="•"/>
      <w:lvlJc w:val="left"/>
      <w:pPr>
        <w:ind w:left="5669" w:hanging="233"/>
      </w:pPr>
      <w:rPr>
        <w:rFonts w:hint="default"/>
        <w:lang w:val="es-ES" w:eastAsia="en-US" w:bidi="ar-SA"/>
      </w:rPr>
    </w:lvl>
    <w:lvl w:ilvl="7">
      <w:start w:val="0"/>
      <w:numFmt w:val="bullet"/>
      <w:lvlText w:val="•"/>
      <w:lvlJc w:val="left"/>
      <w:pPr>
        <w:ind w:left="6590" w:hanging="233"/>
      </w:pPr>
      <w:rPr>
        <w:rFonts w:hint="default"/>
        <w:lang w:val="es-ES" w:eastAsia="en-US" w:bidi="ar-SA"/>
      </w:rPr>
    </w:lvl>
    <w:lvl w:ilvl="8">
      <w:start w:val="0"/>
      <w:numFmt w:val="bullet"/>
      <w:lvlText w:val="•"/>
      <w:lvlJc w:val="left"/>
      <w:pPr>
        <w:ind w:left="7512" w:hanging="233"/>
      </w:pPr>
      <w:rPr>
        <w:rFonts w:hint="default"/>
        <w:lang w:val="es-E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spacing w:before="1"/>
      <w:ind w:left="141" w:right="142"/>
      <w:jc w:val="both"/>
      <w:outlineLvl w:val="1"/>
    </w:pPr>
    <w:rPr>
      <w:rFonts w:ascii="Times New Roman" w:hAnsi="Times New Roman" w:eastAsia="Times New Roman" w:cs="Times New Roman"/>
      <w:b/>
      <w:bCs/>
      <w:sz w:val="24"/>
      <w:szCs w:val="24"/>
      <w:u w:val="single" w:color="000000"/>
      <w:lang w:val="es-ES" w:eastAsia="en-US" w:bidi="ar-SA"/>
    </w:rPr>
  </w:style>
  <w:style w:styleId="Heading2" w:type="paragraph">
    <w:name w:val="Heading 2"/>
    <w:basedOn w:val="Normal"/>
    <w:uiPriority w:val="1"/>
    <w:qFormat/>
    <w:pPr>
      <w:ind w:left="141"/>
      <w:jc w:val="both"/>
      <w:outlineLvl w:val="2"/>
    </w:pPr>
    <w:rPr>
      <w:rFonts w:ascii="Times New Roman" w:hAnsi="Times New Roman" w:eastAsia="Times New Roman" w:cs="Times New Roman"/>
      <w:sz w:val="24"/>
      <w:szCs w:val="24"/>
      <w:u w:val="single" w:color="000000"/>
      <w:lang w:val="es-ES" w:eastAsia="en-US" w:bidi="ar-SA"/>
    </w:rPr>
  </w:style>
  <w:style w:styleId="ListParagraph" w:type="paragraph">
    <w:name w:val="List Paragraph"/>
    <w:basedOn w:val="Normal"/>
    <w:uiPriority w:val="1"/>
    <w:qFormat/>
    <w:pPr>
      <w:ind w:left="141" w:right="143"/>
      <w:jc w:val="both"/>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ede.ayuntamientodetias.es/validacion" TargetMode="Externa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c:creator>
  <dcterms:created xsi:type="dcterms:W3CDTF">2026-08-11T07:51:12Z</dcterms:created>
  <dcterms:modified xsi:type="dcterms:W3CDTF">2026-08-11T07:51:12Z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2026-06-23T00:00:00Z</vt:filetime>
  </property>
  <property fmtid="{D5CDD505-2E9C-101B-9397-08002B2CF9AE}" pid="4" name="Creator">
    <vt:lpwstr>Microsoft® Word para Microsoft 365</vt:lpwstr>
  </property>
  <property fmtid="{D5CDD505-2E9C-101B-9397-08002B2CF9AE}" pid="5" name="LastSaved">
    <vt:filetime>2026-08-11T00:00:00Z</vt:filetime>
  </property>
  <property fmtid="{D5CDD505-2E9C-101B-9397-08002B2CF9AE}" pid="6" name="Producer">
    <vt:lpwstr>Microsoft® Word para Microsoft 365; modified using iText® 5.2.1 ©2000-2012 1T3XT BVBA</vt:lpwstr>
  </property>
</Properties>
</file>