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7"/>
        <w:ind w:left="6899" w:right="6917" w:firstLine="0"/>
        <w:jc w:val="center"/>
        <w:rPr>
          <w:sz w:val="32"/>
        </w:rPr>
      </w:pPr>
      <w:r>
        <w:rPr>
          <w:sz w:val="32"/>
        </w:rPr>
        <w:t>Ayuntamiento de Tías</w:t>
      </w:r>
    </w:p>
    <w:p>
      <w:pPr>
        <w:pStyle w:val="BodyText"/>
        <w:spacing w:before="7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6840" w:h="11900" w:orient="landscape"/>
          <w:pgMar w:top="200" w:bottom="280" w:left="60" w:right="80"/>
        </w:sectPr>
      </w:pPr>
    </w:p>
    <w:p>
      <w:pPr>
        <w:spacing w:line="218" w:lineRule="exact" w:before="92"/>
        <w:ind w:left="5439" w:right="0" w:firstLine="0"/>
        <w:jc w:val="center"/>
        <w:rPr>
          <w:sz w:val="20"/>
        </w:rPr>
      </w:pPr>
      <w:r>
        <w:rPr>
          <w:spacing w:val="-9"/>
          <w:sz w:val="20"/>
        </w:rPr>
        <w:t>AVANCE </w:t>
      </w:r>
      <w:r>
        <w:rPr>
          <w:sz w:val="20"/>
        </w:rPr>
        <w:t>DE LA LIQUIDACION DEL PRESUPUESTO </w:t>
      </w:r>
      <w:r>
        <w:rPr>
          <w:spacing w:val="-3"/>
          <w:sz w:val="20"/>
        </w:rPr>
        <w:t>CORRIENTE</w:t>
      </w:r>
    </w:p>
    <w:p>
      <w:pPr>
        <w:pStyle w:val="BodyText"/>
        <w:spacing w:line="172" w:lineRule="exact"/>
        <w:ind w:left="5438"/>
        <w:jc w:val="center"/>
      </w:pPr>
      <w:r>
        <w:rPr/>
        <w:t>Hasta 31/12/2025</w:t>
      </w:r>
    </w:p>
    <w:p>
      <w:pPr>
        <w:pStyle w:val="BodyText"/>
        <w:spacing w:before="16"/>
        <w:ind w:left="5438"/>
        <w:jc w:val="center"/>
      </w:pPr>
      <w:r>
        <w:rPr/>
        <w:t>EJECUCION DEL PRESUPUESTO</w:t>
      </w:r>
    </w:p>
    <w:p>
      <w:pPr>
        <w:pStyle w:val="BodyText"/>
        <w:spacing w:before="9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ind w:right="758"/>
        <w:jc w:val="right"/>
      </w:pPr>
      <w:r>
        <w:rPr/>
        <w:t>Folio Núm. 1</w:t>
      </w:r>
    </w:p>
    <w:p>
      <w:pPr>
        <w:spacing w:after="0"/>
        <w:jc w:val="right"/>
        <w:sectPr>
          <w:type w:val="continuous"/>
          <w:pgSz w:w="16840" w:h="11900" w:orient="landscape"/>
          <w:pgMar w:top="200" w:bottom="280" w:left="60" w:right="80"/>
          <w:cols w:num="2" w:equalWidth="0">
            <w:col w:w="11242" w:space="40"/>
            <w:col w:w="5418"/>
          </w:cols>
        </w:sectPr>
      </w:pPr>
    </w:p>
    <w:p>
      <w:pPr>
        <w:pStyle w:val="BodyText"/>
        <w:spacing w:before="7"/>
        <w:rPr>
          <w:sz w:val="10"/>
        </w:rPr>
      </w:pPr>
    </w:p>
    <w:p>
      <w:pPr>
        <w:pStyle w:val="BodyText"/>
        <w:spacing w:before="94"/>
        <w:ind w:left="6899" w:right="6916"/>
        <w:jc w:val="center"/>
      </w:pPr>
      <w:r>
        <w:rPr/>
        <w:t>ESTADO DE INGRESOS</w:t>
      </w: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34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20"/>
      </w:tblGrid>
      <w:tr>
        <w:trPr>
          <w:trHeight w:val="487" w:hRule="atLeast"/>
        </w:trPr>
        <w:tc>
          <w:tcPr>
            <w:tcW w:w="2820" w:type="dxa"/>
            <w:vMerge w:val="restart"/>
            <w:tcBorders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line="240" w:lineRule="auto" w:before="0"/>
              <w:ind w:left="957" w:right="910"/>
              <w:jc w:val="center"/>
              <w:rPr>
                <w:sz w:val="16"/>
              </w:rPr>
            </w:pPr>
            <w:r>
              <w:rPr>
                <w:sz w:val="16"/>
              </w:rPr>
              <w:t>CAPITULOS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08" w:lineRule="auto" w:before="0"/>
              <w:ind w:left="218" w:right="40" w:hanging="121"/>
              <w:jc w:val="left"/>
              <w:rPr>
                <w:sz w:val="16"/>
              </w:rPr>
            </w:pPr>
            <w:r>
              <w:rPr>
                <w:sz w:val="16"/>
              </w:rPr>
              <w:t>PREVISIONES INICIALES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08" w:lineRule="auto" w:before="0"/>
              <w:ind w:left="22" w:right="-29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MODIFICACION </w:t>
            </w:r>
            <w:r>
              <w:rPr>
                <w:sz w:val="16"/>
              </w:rPr>
              <w:t>DE       PREVISIONES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08" w:lineRule="auto" w:before="0"/>
              <w:ind w:left="123" w:right="39" w:hanging="25"/>
              <w:jc w:val="left"/>
              <w:rPr>
                <w:sz w:val="16"/>
              </w:rPr>
            </w:pPr>
            <w:r>
              <w:rPr>
                <w:sz w:val="16"/>
              </w:rPr>
              <w:t>PREVISIONES DEFINITIVAS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08" w:lineRule="auto" w:before="0"/>
              <w:ind w:left="41" w:right="0" w:hanging="1"/>
              <w:jc w:val="center"/>
              <w:rPr>
                <w:sz w:val="16"/>
              </w:rPr>
            </w:pPr>
            <w:r>
              <w:rPr>
                <w:sz w:val="16"/>
              </w:rPr>
              <w:t>DERECHOS RECONOCIDOS NETOS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08" w:lineRule="auto" w:before="95"/>
              <w:ind w:left="51"/>
              <w:jc w:val="center"/>
              <w:rPr>
                <w:sz w:val="14"/>
              </w:rPr>
            </w:pPr>
            <w:r>
              <w:rPr>
                <w:sz w:val="14"/>
              </w:rPr>
              <w:t>PORCENTAJE DE LOS DERECHOS SOBRE LAS PREVISIONES DEFINITIVAS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08" w:lineRule="auto" w:before="0"/>
              <w:ind w:left="170" w:right="110" w:firstLine="17"/>
              <w:jc w:val="left"/>
              <w:rPr>
                <w:sz w:val="16"/>
              </w:rPr>
            </w:pPr>
            <w:r>
              <w:rPr>
                <w:sz w:val="16"/>
              </w:rPr>
              <w:t>DERECHOS ANULADOS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08" w:lineRule="auto" w:before="0"/>
              <w:ind w:left="280" w:right="-15" w:hanging="243"/>
              <w:jc w:val="left"/>
              <w:rPr>
                <w:sz w:val="16"/>
              </w:rPr>
            </w:pPr>
            <w:r>
              <w:rPr>
                <w:spacing w:val="-3"/>
                <w:sz w:val="16"/>
              </w:rPr>
              <w:t>RECAUDACION </w:t>
            </w:r>
            <w:r>
              <w:rPr>
                <w:sz w:val="16"/>
              </w:rPr>
              <w:t>LIQUIDA</w:t>
            </w:r>
          </w:p>
        </w:tc>
        <w:tc>
          <w:tcPr>
            <w:tcW w:w="2400" w:type="dxa"/>
            <w:gridSpan w:val="2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08" w:lineRule="auto" w:before="75"/>
              <w:ind w:left="638" w:right="0" w:hanging="177"/>
              <w:jc w:val="left"/>
              <w:rPr>
                <w:sz w:val="16"/>
              </w:rPr>
            </w:pPr>
            <w:r>
              <w:rPr>
                <w:sz w:val="16"/>
              </w:rPr>
              <w:t>PORCENTAJE DE LA RECAUDACION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08" w:lineRule="auto" w:before="0"/>
              <w:ind w:left="72" w:right="12" w:firstLine="115"/>
              <w:jc w:val="left"/>
              <w:rPr>
                <w:sz w:val="16"/>
              </w:rPr>
            </w:pPr>
            <w:r>
              <w:rPr>
                <w:sz w:val="16"/>
              </w:rPr>
              <w:t>DERECHOS CANCELADOS</w:t>
            </w:r>
          </w:p>
        </w:tc>
        <w:tc>
          <w:tcPr>
            <w:tcW w:w="1220" w:type="dxa"/>
            <w:vMerge w:val="restart"/>
            <w:tcBorders>
              <w:left w:val="single" w:sz="8" w:space="0" w:color="0000FF"/>
              <w:bottom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08" w:lineRule="auto" w:before="0"/>
              <w:ind w:left="125" w:right="91"/>
              <w:jc w:val="center"/>
              <w:rPr>
                <w:sz w:val="16"/>
              </w:rPr>
            </w:pPr>
            <w:r>
              <w:rPr>
                <w:sz w:val="16"/>
              </w:rPr>
              <w:t>DERECHOS PENDIENTES DE COBRO</w:t>
            </w:r>
          </w:p>
        </w:tc>
      </w:tr>
      <w:tr>
        <w:trPr>
          <w:trHeight w:val="480" w:hRule="atLeast"/>
        </w:trPr>
        <w:tc>
          <w:tcPr>
            <w:tcW w:w="2820" w:type="dxa"/>
            <w:vMerge/>
            <w:tcBorders>
              <w:top w:val="nil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08" w:lineRule="auto" w:before="68"/>
              <w:ind w:left="226" w:right="167" w:firstLine="61"/>
              <w:jc w:val="left"/>
              <w:rPr>
                <w:sz w:val="12"/>
              </w:rPr>
            </w:pPr>
            <w:r>
              <w:rPr>
                <w:sz w:val="12"/>
              </w:rPr>
              <w:t>SOBRE LAS PREVISIONES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08" w:lineRule="auto" w:before="68"/>
              <w:ind w:left="183" w:right="141" w:hanging="1"/>
              <w:jc w:val="center"/>
              <w:rPr>
                <w:sz w:val="12"/>
              </w:rPr>
            </w:pPr>
            <w:r>
              <w:rPr>
                <w:sz w:val="12"/>
              </w:rPr>
              <w:t>SOBRE LOS DERECHOS RECONOCIDOS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FF"/>
              <w:bottom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2820" w:type="dxa"/>
            <w:tcBorders>
              <w:top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1.- Impuestos directos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10.135.473,98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10.135.473,98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9.940.654,75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98,08 %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1.443.956,36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7.767.263,31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76,63 %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78,14 %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single" w:sz="8" w:space="0" w:color="0000FF"/>
              <w:left w:val="single" w:sz="8" w:space="0" w:color="0000FF"/>
              <w:bottom w:val="nil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right="15"/>
              <w:rPr>
                <w:sz w:val="16"/>
              </w:rPr>
            </w:pPr>
            <w:r>
              <w:rPr>
                <w:sz w:val="16"/>
              </w:rPr>
              <w:t>2.173.391,44</w:t>
            </w:r>
          </w:p>
        </w:tc>
      </w:tr>
      <w:tr>
        <w:trPr>
          <w:trHeight w:val="200" w:hRule="atLeast"/>
        </w:trPr>
        <w:tc>
          <w:tcPr>
            <w:tcW w:w="2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2.- Impuestos Indirectos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6.124.886,12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192.000,00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6.316.886,12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6.652.388,66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105,31 %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4.072,30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6.652.388,66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108,61 %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100,00 %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2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3.- Tasas y otros ingresos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3.338.131,58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194.400,00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3.532.531,58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4.618.501,04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130,74 %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250.363,97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4.003.887,66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119,94 %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86,69 %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614.613,38</w:t>
            </w:r>
          </w:p>
        </w:tc>
      </w:tr>
      <w:tr>
        <w:trPr>
          <w:trHeight w:val="200" w:hRule="atLeast"/>
        </w:trPr>
        <w:tc>
          <w:tcPr>
            <w:tcW w:w="2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4.- Transferencias corrientes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11.264.544,86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1.069.242,69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12.333.787,55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8.882.045,46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72,01 %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2.060.678,77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8.882.045,46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78,85 %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100,00 %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2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5.- Ingresos Patrimoniales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452.000,00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452.000,00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520.818,80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115,23 %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519.651,05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114,97 %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99,78 %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1.167,75</w:t>
            </w:r>
          </w:p>
        </w:tc>
      </w:tr>
      <w:tr>
        <w:trPr>
          <w:trHeight w:val="200" w:hRule="atLeast"/>
        </w:trPr>
        <w:tc>
          <w:tcPr>
            <w:tcW w:w="2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6.- Enajenacion de inversiones reales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2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7.- Transferencias de Capital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992.921,00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992.921,00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2.248.757,57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2.248.757,57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100,00 %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2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8.- Activos Financieros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21.943.359,46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22.073.359,46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15" w:hRule="atLeast"/>
        </w:trPr>
        <w:tc>
          <w:tcPr>
            <w:tcW w:w="2820" w:type="dxa"/>
            <w:tcBorders>
              <w:top w:val="nil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9.- Pasivos Financieros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single" w:sz="8" w:space="0" w:color="0000FF"/>
            </w:tcBorders>
          </w:tcPr>
          <w:p>
            <w:pPr>
              <w:pStyle w:val="TableParagraph"/>
              <w:spacing w:line="240" w:lineRule="auto"/>
              <w:ind w:right="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87" w:hRule="atLeast"/>
        </w:trPr>
        <w:tc>
          <w:tcPr>
            <w:tcW w:w="2820" w:type="dxa"/>
            <w:tcBorders>
              <w:top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ind w:left="1573" w:right="0"/>
              <w:jc w:val="left"/>
              <w:rPr>
                <w:sz w:val="16"/>
              </w:rPr>
            </w:pPr>
            <w:r>
              <w:rPr>
                <w:sz w:val="16"/>
              </w:rPr>
              <w:t>SUMA TOTAL: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31.445.036,54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24.391.923,15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55.836.959,69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32.863.166,28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58,86 %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3.759.071,40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30.073.993,71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95,64 %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91,51 %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single" w:sz="8" w:space="0" w:color="0000FF"/>
              <w:left w:val="single" w:sz="8" w:space="0" w:color="0000FF"/>
            </w:tcBorders>
          </w:tcPr>
          <w:p>
            <w:pPr>
              <w:pStyle w:val="TableParagraph"/>
              <w:spacing w:line="240" w:lineRule="auto" w:before="68"/>
              <w:ind w:right="15"/>
              <w:rPr>
                <w:sz w:val="16"/>
              </w:rPr>
            </w:pPr>
            <w:r>
              <w:rPr>
                <w:sz w:val="16"/>
              </w:rPr>
              <w:t>2.789.172,57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spacing w:before="131"/>
        <w:ind w:left="6899" w:right="6916"/>
        <w:jc w:val="center"/>
      </w:pPr>
      <w:r>
        <w:rPr/>
        <w:t>ESTADO DE GASTOS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4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0"/>
        <w:gridCol w:w="1100"/>
        <w:gridCol w:w="1000"/>
        <w:gridCol w:w="1000"/>
        <w:gridCol w:w="1200"/>
        <w:gridCol w:w="1200"/>
        <w:gridCol w:w="800"/>
        <w:gridCol w:w="1200"/>
        <w:gridCol w:w="800"/>
        <w:gridCol w:w="1200"/>
        <w:gridCol w:w="800"/>
        <w:gridCol w:w="800"/>
        <w:gridCol w:w="1200"/>
        <w:gridCol w:w="1220"/>
      </w:tblGrid>
      <w:tr>
        <w:trPr>
          <w:trHeight w:val="587" w:hRule="atLeast"/>
        </w:trPr>
        <w:tc>
          <w:tcPr>
            <w:tcW w:w="2920" w:type="dxa"/>
            <w:vMerge w:val="restart"/>
            <w:tcBorders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23"/>
              </w:rPr>
            </w:pPr>
          </w:p>
          <w:p>
            <w:pPr>
              <w:pStyle w:val="TableParagraph"/>
              <w:spacing w:line="240" w:lineRule="auto" w:before="0"/>
              <w:ind w:left="1007" w:right="960"/>
              <w:jc w:val="center"/>
              <w:rPr>
                <w:sz w:val="16"/>
              </w:rPr>
            </w:pPr>
            <w:r>
              <w:rPr>
                <w:sz w:val="16"/>
              </w:rPr>
              <w:t>CAPITULOS</w:t>
            </w:r>
          </w:p>
        </w:tc>
        <w:tc>
          <w:tcPr>
            <w:tcW w:w="11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08" w:lineRule="auto" w:before="0"/>
              <w:ind w:left="168" w:right="108" w:firstLine="1"/>
              <w:jc w:val="left"/>
              <w:rPr>
                <w:sz w:val="16"/>
              </w:rPr>
            </w:pPr>
            <w:r>
              <w:rPr>
                <w:sz w:val="16"/>
              </w:rPr>
              <w:t>CREDITOS INICIALES</w:t>
            </w:r>
          </w:p>
        </w:tc>
        <w:tc>
          <w:tcPr>
            <w:tcW w:w="2000" w:type="dxa"/>
            <w:gridSpan w:val="2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08" w:lineRule="auto" w:before="0"/>
              <w:ind w:left="534" w:right="0" w:hanging="206"/>
              <w:jc w:val="left"/>
              <w:rPr>
                <w:sz w:val="16"/>
              </w:rPr>
            </w:pPr>
            <w:r>
              <w:rPr>
                <w:sz w:val="16"/>
              </w:rPr>
              <w:t>MODIFICACIONES APROBADAS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08" w:lineRule="auto" w:before="0"/>
              <w:ind w:left="115" w:right="-15" w:firstLine="104"/>
              <w:jc w:val="left"/>
              <w:rPr>
                <w:sz w:val="16"/>
              </w:rPr>
            </w:pPr>
            <w:r>
              <w:rPr>
                <w:sz w:val="16"/>
              </w:rPr>
              <w:t>CREDITOS DEFINITIVOS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08" w:lineRule="auto" w:before="0"/>
              <w:ind w:left="92" w:right="14" w:firstLine="207"/>
              <w:jc w:val="left"/>
              <w:rPr>
                <w:sz w:val="16"/>
              </w:rPr>
            </w:pPr>
            <w:r>
              <w:rPr>
                <w:sz w:val="16"/>
              </w:rPr>
              <w:t>GASTOS COMPROMET.</w:t>
            </w:r>
          </w:p>
        </w:tc>
        <w:tc>
          <w:tcPr>
            <w:tcW w:w="8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08" w:lineRule="auto" w:before="0"/>
              <w:ind w:left="37" w:right="-15" w:hanging="1"/>
              <w:jc w:val="center"/>
              <w:rPr>
                <w:sz w:val="14"/>
              </w:rPr>
            </w:pPr>
            <w:r>
              <w:rPr>
                <w:sz w:val="14"/>
              </w:rPr>
              <w:t>PORCENT. DE GAST. COMPROM. SOBRE CREDIT. DEFINIT.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08" w:lineRule="auto" w:before="0"/>
              <w:ind w:left="22" w:right="-29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OBLIGACIONES </w:t>
            </w:r>
            <w:r>
              <w:rPr>
                <w:sz w:val="16"/>
              </w:rPr>
              <w:t>RECONOCIDAS </w:t>
            </w:r>
            <w:r>
              <w:rPr>
                <w:spacing w:val="-3"/>
                <w:sz w:val="16"/>
              </w:rPr>
              <w:t>NETAS</w:t>
            </w:r>
          </w:p>
        </w:tc>
        <w:tc>
          <w:tcPr>
            <w:tcW w:w="8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08" w:lineRule="auto" w:before="0"/>
              <w:ind w:left="58" w:right="16"/>
              <w:jc w:val="center"/>
              <w:rPr>
                <w:sz w:val="14"/>
              </w:rPr>
            </w:pPr>
            <w:r>
              <w:rPr>
                <w:sz w:val="14"/>
              </w:rPr>
              <w:t>PORCENT. DE LAS OBLIG. RECON. SOBRE CREDIT. DEFINIT.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08" w:lineRule="auto" w:before="0"/>
              <w:ind w:left="233" w:right="171" w:firstLine="125"/>
              <w:jc w:val="left"/>
              <w:rPr>
                <w:sz w:val="16"/>
              </w:rPr>
            </w:pPr>
            <w:r>
              <w:rPr>
                <w:sz w:val="16"/>
              </w:rPr>
              <w:t>PAGOS LIQUIDOS</w:t>
            </w:r>
          </w:p>
        </w:tc>
        <w:tc>
          <w:tcPr>
            <w:tcW w:w="1600" w:type="dxa"/>
            <w:gridSpan w:val="2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08" w:lineRule="auto" w:before="0"/>
              <w:ind w:left="161" w:right="-43" w:hanging="144"/>
              <w:jc w:val="left"/>
              <w:rPr>
                <w:sz w:val="16"/>
              </w:rPr>
            </w:pPr>
            <w:r>
              <w:rPr>
                <w:sz w:val="16"/>
              </w:rPr>
              <w:t>PORCENTAJE DE </w:t>
            </w:r>
            <w:r>
              <w:rPr>
                <w:spacing w:val="-5"/>
                <w:sz w:val="16"/>
              </w:rPr>
              <w:t>LOS PAGOS</w:t>
            </w:r>
            <w:r>
              <w:rPr>
                <w:sz w:val="16"/>
              </w:rPr>
              <w:t> LIQUIDOS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08" w:lineRule="auto" w:before="0"/>
              <w:ind w:left="22" w:right="-29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OBLIGACIONES </w:t>
            </w:r>
            <w:r>
              <w:rPr>
                <w:sz w:val="16"/>
              </w:rPr>
              <w:t>PENDIENTES DE </w:t>
            </w:r>
            <w:r>
              <w:rPr>
                <w:spacing w:val="-6"/>
                <w:sz w:val="16"/>
              </w:rPr>
              <w:t>PAGO</w:t>
            </w:r>
          </w:p>
        </w:tc>
        <w:tc>
          <w:tcPr>
            <w:tcW w:w="1220" w:type="dxa"/>
            <w:vMerge w:val="restart"/>
            <w:tcBorders>
              <w:left w:val="single" w:sz="8" w:space="0" w:color="0000FF"/>
              <w:bottom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08" w:lineRule="auto" w:before="0"/>
              <w:ind w:left="138" w:right="64" w:hanging="22"/>
              <w:jc w:val="left"/>
              <w:rPr>
                <w:sz w:val="16"/>
              </w:rPr>
            </w:pPr>
            <w:r>
              <w:rPr>
                <w:sz w:val="16"/>
              </w:rPr>
              <w:t>REMANENTE DE CREDITO</w:t>
            </w:r>
          </w:p>
        </w:tc>
      </w:tr>
      <w:tr>
        <w:trPr>
          <w:trHeight w:val="780" w:hRule="atLeast"/>
        </w:trPr>
        <w:tc>
          <w:tcPr>
            <w:tcW w:w="2920" w:type="dxa"/>
            <w:vMerge/>
            <w:tcBorders>
              <w:top w:val="nil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08" w:lineRule="auto" w:before="0"/>
              <w:ind w:left="11" w:right="-38" w:firstLine="381"/>
              <w:jc w:val="left"/>
              <w:rPr>
                <w:sz w:val="12"/>
              </w:rPr>
            </w:pPr>
            <w:r>
              <w:rPr>
                <w:sz w:val="12"/>
              </w:rPr>
              <w:t>POR INCORPORACION DE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REMANENTES</w:t>
            </w:r>
          </w:p>
        </w:tc>
        <w:tc>
          <w:tcPr>
            <w:tcW w:w="10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08" w:lineRule="auto" w:before="0"/>
              <w:ind w:left="74" w:right="32" w:hanging="1"/>
              <w:jc w:val="center"/>
              <w:rPr>
                <w:sz w:val="12"/>
              </w:rPr>
            </w:pPr>
            <w:r>
              <w:rPr>
                <w:sz w:val="12"/>
              </w:rPr>
              <w:t>POR LAS RESTANTES </w:t>
            </w:r>
            <w:r>
              <w:rPr>
                <w:spacing w:val="-1"/>
                <w:sz w:val="12"/>
              </w:rPr>
              <w:t>MODALIDADES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08" w:lineRule="auto" w:before="0"/>
              <w:ind w:left="39" w:right="-15" w:hanging="1"/>
              <w:jc w:val="center"/>
              <w:rPr>
                <w:sz w:val="12"/>
              </w:rPr>
            </w:pPr>
            <w:r>
              <w:rPr>
                <w:sz w:val="12"/>
              </w:rPr>
              <w:t>SOBRE CREDITOS DEFINITIVOS</w:t>
            </w:r>
          </w:p>
        </w:tc>
        <w:tc>
          <w:tcPr>
            <w:tcW w:w="8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08" w:lineRule="auto" w:before="0"/>
              <w:ind w:left="24" w:right="-29" w:hanging="1"/>
              <w:jc w:val="center"/>
              <w:rPr>
                <w:sz w:val="12"/>
              </w:rPr>
            </w:pPr>
            <w:r>
              <w:rPr>
                <w:sz w:val="12"/>
              </w:rPr>
              <w:t>SOBRE OBLIGACION. RECONOC.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FF"/>
              <w:bottom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2920" w:type="dxa"/>
            <w:tcBorders>
              <w:top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1.- Gastos de personal</w:t>
            </w:r>
          </w:p>
        </w:tc>
        <w:tc>
          <w:tcPr>
            <w:tcW w:w="11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12.396.503,87</w:t>
            </w:r>
          </w:p>
        </w:tc>
        <w:tc>
          <w:tcPr>
            <w:tcW w:w="10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200.189,32</w:t>
            </w:r>
          </w:p>
        </w:tc>
        <w:tc>
          <w:tcPr>
            <w:tcW w:w="10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23.606,62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12.620.299,81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11.566.021,83</w:t>
            </w:r>
          </w:p>
        </w:tc>
        <w:tc>
          <w:tcPr>
            <w:tcW w:w="8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91,65 %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11.565.575,56</w:t>
            </w:r>
          </w:p>
        </w:tc>
        <w:tc>
          <w:tcPr>
            <w:tcW w:w="8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91,64 %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11.563.602,35</w:t>
            </w:r>
          </w:p>
        </w:tc>
        <w:tc>
          <w:tcPr>
            <w:tcW w:w="8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91,63 %</w:t>
            </w:r>
          </w:p>
        </w:tc>
        <w:tc>
          <w:tcPr>
            <w:tcW w:w="8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99,98 %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1.973,21</w:t>
            </w:r>
          </w:p>
        </w:tc>
        <w:tc>
          <w:tcPr>
            <w:tcW w:w="1220" w:type="dxa"/>
            <w:tcBorders>
              <w:top w:val="single" w:sz="8" w:space="0" w:color="0000FF"/>
              <w:left w:val="single" w:sz="8" w:space="0" w:color="0000FF"/>
              <w:bottom w:val="nil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right="15"/>
              <w:rPr>
                <w:sz w:val="16"/>
              </w:rPr>
            </w:pPr>
            <w:r>
              <w:rPr>
                <w:sz w:val="16"/>
              </w:rPr>
              <w:t>1.054.724,25</w:t>
            </w:r>
          </w:p>
        </w:tc>
      </w:tr>
      <w:tr>
        <w:trPr>
          <w:trHeight w:val="200" w:hRule="atLeast"/>
        </w:trPr>
        <w:tc>
          <w:tcPr>
            <w:tcW w:w="29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2.- Gastos en bienes corrientes y servicios</w:t>
            </w:r>
          </w:p>
        </w:tc>
        <w:tc>
          <w:tcPr>
            <w:tcW w:w="11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16.075.395,76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15.791,91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1.455.371,38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17.546.559,05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16.795.358,43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95,72 %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15.191.887,13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86,58 %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13.636.779,71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77,72 %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89,76 %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1.555.107,42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2.354.671,92</w:t>
            </w:r>
          </w:p>
        </w:tc>
      </w:tr>
      <w:tr>
        <w:trPr>
          <w:trHeight w:val="200" w:hRule="atLeast"/>
        </w:trPr>
        <w:tc>
          <w:tcPr>
            <w:tcW w:w="29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3.- Gastos financieros</w:t>
            </w:r>
          </w:p>
        </w:tc>
        <w:tc>
          <w:tcPr>
            <w:tcW w:w="11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2.952,80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59,06 %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2.952,80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59,06 %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2.952,80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59,06 %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100,00 %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2.047,20</w:t>
            </w:r>
          </w:p>
        </w:tc>
      </w:tr>
      <w:tr>
        <w:trPr>
          <w:trHeight w:val="200" w:hRule="atLeast"/>
        </w:trPr>
        <w:tc>
          <w:tcPr>
            <w:tcW w:w="29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4.- Transferencias corrientes</w:t>
            </w:r>
          </w:p>
        </w:tc>
        <w:tc>
          <w:tcPr>
            <w:tcW w:w="11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2.838.136,91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208.674,44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3.046.811,35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2.813.025,92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92,33 %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2.801.483,71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91,95 %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2.718.563,26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89,23 %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97,04 %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82.920,45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245.327,64</w:t>
            </w:r>
          </w:p>
        </w:tc>
      </w:tr>
      <w:tr>
        <w:trPr>
          <w:trHeight w:val="200" w:hRule="atLeast"/>
        </w:trPr>
        <w:tc>
          <w:tcPr>
            <w:tcW w:w="29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6.- Inversiones Reales</w:t>
            </w:r>
          </w:p>
        </w:tc>
        <w:tc>
          <w:tcPr>
            <w:tcW w:w="11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8.325.388,52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14.162.900,96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22.488.289,48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12.206.735,63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54,28 %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5.195.952,49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23,11 %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4.328.091,29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19,25 %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83,30 %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867.861,20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17.292.336,99</w:t>
            </w:r>
          </w:p>
        </w:tc>
      </w:tr>
      <w:tr>
        <w:trPr>
          <w:trHeight w:val="200" w:hRule="atLeast"/>
        </w:trPr>
        <w:tc>
          <w:tcPr>
            <w:tcW w:w="29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7.- Transferencias de capital</w:t>
            </w:r>
          </w:p>
        </w:tc>
        <w:tc>
          <w:tcPr>
            <w:tcW w:w="11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29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8.- Activos financieros</w:t>
            </w:r>
          </w:p>
        </w:tc>
        <w:tc>
          <w:tcPr>
            <w:tcW w:w="11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0,00 %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</w:tr>
      <w:tr>
        <w:trPr>
          <w:trHeight w:val="415" w:hRule="atLeast"/>
        </w:trPr>
        <w:tc>
          <w:tcPr>
            <w:tcW w:w="2920" w:type="dxa"/>
            <w:tcBorders>
              <w:top w:val="nil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9.- Pasivos financieros</w:t>
            </w:r>
          </w:p>
        </w:tc>
        <w:tc>
          <w:tcPr>
            <w:tcW w:w="11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single" w:sz="8" w:space="0" w:color="0000FF"/>
            </w:tcBorders>
          </w:tcPr>
          <w:p>
            <w:pPr>
              <w:pStyle w:val="TableParagraph"/>
              <w:spacing w:line="240" w:lineRule="auto"/>
              <w:ind w:right="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87" w:hRule="atLeast"/>
        </w:trPr>
        <w:tc>
          <w:tcPr>
            <w:tcW w:w="2920" w:type="dxa"/>
            <w:tcBorders>
              <w:top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ind w:left="1673" w:right="0"/>
              <w:jc w:val="left"/>
              <w:rPr>
                <w:sz w:val="16"/>
              </w:rPr>
            </w:pPr>
            <w:r>
              <w:rPr>
                <w:sz w:val="16"/>
              </w:rPr>
              <w:t>SUMA TOTAL:</w:t>
            </w:r>
          </w:p>
        </w:tc>
        <w:tc>
          <w:tcPr>
            <w:tcW w:w="11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31.445.036,54</w:t>
            </w:r>
          </w:p>
        </w:tc>
        <w:tc>
          <w:tcPr>
            <w:tcW w:w="10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8.541.369,75</w:t>
            </w:r>
          </w:p>
        </w:tc>
        <w:tc>
          <w:tcPr>
            <w:tcW w:w="10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15.850.553,40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55.836.959,69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43.384.094,61</w:t>
            </w:r>
          </w:p>
        </w:tc>
        <w:tc>
          <w:tcPr>
            <w:tcW w:w="8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77,70%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34.757.851,69</w:t>
            </w:r>
          </w:p>
        </w:tc>
        <w:tc>
          <w:tcPr>
            <w:tcW w:w="8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62,25 %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32.249.989,41</w:t>
            </w:r>
          </w:p>
        </w:tc>
        <w:tc>
          <w:tcPr>
            <w:tcW w:w="8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57,76 %</w:t>
            </w:r>
          </w:p>
        </w:tc>
        <w:tc>
          <w:tcPr>
            <w:tcW w:w="8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92,78 %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2.507.862,28</w:t>
            </w:r>
          </w:p>
        </w:tc>
        <w:tc>
          <w:tcPr>
            <w:tcW w:w="1220" w:type="dxa"/>
            <w:tcBorders>
              <w:top w:val="single" w:sz="8" w:space="0" w:color="0000FF"/>
              <w:left w:val="single" w:sz="8" w:space="0" w:color="0000FF"/>
            </w:tcBorders>
          </w:tcPr>
          <w:p>
            <w:pPr>
              <w:pStyle w:val="TableParagraph"/>
              <w:spacing w:line="240" w:lineRule="auto" w:before="68"/>
              <w:ind w:right="15"/>
              <w:rPr>
                <w:sz w:val="16"/>
              </w:rPr>
            </w:pPr>
            <w:r>
              <w:rPr>
                <w:sz w:val="16"/>
              </w:rPr>
              <w:t>21.079.108,00</w:t>
            </w:r>
          </w:p>
        </w:tc>
      </w:tr>
    </w:tbl>
    <w:p>
      <w:pPr>
        <w:pStyle w:val="BodyText"/>
        <w:spacing w:before="138"/>
        <w:ind w:right="157"/>
        <w:jc w:val="right"/>
      </w:pPr>
      <w:r>
        <w:rPr/>
        <w:t>O370</w:t>
      </w:r>
    </w:p>
    <w:sectPr>
      <w:type w:val="continuous"/>
      <w:pgSz w:w="16840" w:h="11900" w:orient="landscape"/>
      <w:pgMar w:top="200" w:bottom="280" w:left="6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4" w:line="175" w:lineRule="exact"/>
      <w:ind w:right="9"/>
      <w:jc w:val="righ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2026-06-12T09:05:55Z</dcterms:created>
  <dcterms:modified xsi:type="dcterms:W3CDTF">2026-06-12T09:05:55Z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2026-06-11T00:00:00Z</vt:filetime>
  </property>
  <property fmtid="{D5CDD505-2E9C-101B-9397-08002B2CF9AE}" pid="3" name="LastSaved">
    <vt:filetime>2026-06-12T00:00:00Z</vt:filetime>
  </property>
</Properties>
</file>