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8"/>
        </w:rPr>
      </w:pPr>
    </w:p>
    <w:p>
      <w:pPr>
        <w:pStyle w:val="Heading1"/>
        <w:spacing w:line="362" w:lineRule="auto" w:before="86"/>
        <w:ind w:right="1929"/>
        <w:rPr>
          <w:u w:val="none"/>
        </w:rPr>
      </w:pPr>
      <w:r>
        <w:rPr>
          <w:u w:val="none"/>
        </w:rPr>
        <w:t>MEMORIA DE LA GESTIÓN CORPORATIVA. AÑO 2025</w:t>
      </w:r>
    </w:p>
    <w:p>
      <w:pPr>
        <w:pStyle w:val="BodyText"/>
        <w:rPr>
          <w:b/>
          <w:sz w:val="34"/>
        </w:rPr>
      </w:pPr>
    </w:p>
    <w:p>
      <w:pPr>
        <w:pStyle w:val="BodyText"/>
        <w:rPr>
          <w:b/>
          <w:sz w:val="48"/>
        </w:rPr>
      </w:pPr>
    </w:p>
    <w:p>
      <w:pPr>
        <w:spacing w:before="1"/>
        <w:ind w:left="402" w:right="0" w:firstLine="0"/>
        <w:jc w:val="left"/>
        <w:rPr>
          <w:b/>
          <w:sz w:val="32"/>
        </w:rPr>
      </w:pPr>
      <w:r>
        <w:rPr>
          <w:b/>
          <w:sz w:val="32"/>
          <w:u w:val="thick"/>
        </w:rPr>
        <w:t>INTRODUCCIÓN</w:t>
      </w:r>
    </w:p>
    <w:p>
      <w:pPr>
        <w:pStyle w:val="BodyText"/>
        <w:rPr>
          <w:b/>
          <w:sz w:val="20"/>
        </w:rPr>
      </w:pPr>
    </w:p>
    <w:p>
      <w:pPr>
        <w:pStyle w:val="BodyText"/>
        <w:spacing w:before="5"/>
        <w:rPr>
          <w:b/>
          <w:sz w:val="28"/>
        </w:rPr>
      </w:pPr>
    </w:p>
    <w:p>
      <w:pPr>
        <w:pStyle w:val="BodyText"/>
        <w:spacing w:line="259" w:lineRule="auto" w:before="90"/>
        <w:ind w:left="402" w:right="260"/>
        <w:jc w:val="both"/>
      </w:pPr>
      <w:r>
        <w:rPr/>
        <w:t>Visto el artículo 149 del Real Decreto 2568/1986, de 28 de noviembre, por el que se aprueba el Reglamento de Organización, Funcionamiento y Régimen Jurídico de las Entidades Locales.</w:t>
      </w:r>
    </w:p>
    <w:p>
      <w:pPr>
        <w:pStyle w:val="BodyText"/>
        <w:spacing w:line="259" w:lineRule="auto" w:before="160"/>
        <w:ind w:left="402" w:right="257"/>
        <w:jc w:val="both"/>
      </w:pPr>
      <w:r>
        <w:rPr/>
        <w:t>La presente memoria de gestión corporativa se ha redactado con la información (íntegra o en extracto) suministrada por las diferentes Unidades Administrativas en las que se organizan los servicios administrativos del Ayuntamiento de Tías.</w:t>
      </w:r>
    </w:p>
    <w:p>
      <w:pPr>
        <w:pStyle w:val="BodyText"/>
        <w:rPr>
          <w:sz w:val="26"/>
        </w:rPr>
      </w:pPr>
    </w:p>
    <w:p>
      <w:pPr>
        <w:pStyle w:val="BodyText"/>
        <w:spacing w:before="8"/>
        <w:rPr>
          <w:sz w:val="27"/>
        </w:rPr>
      </w:pPr>
    </w:p>
    <w:p>
      <w:pPr>
        <w:pStyle w:val="Heading1"/>
        <w:spacing w:before="0"/>
        <w:jc w:val="both"/>
        <w:rPr>
          <w:u w:val="none"/>
        </w:rPr>
      </w:pPr>
      <w:r>
        <w:rPr>
          <w:u w:val="thick"/>
        </w:rPr>
        <w:t>PRIMERA PARTE CARACTERÍSTICAS DEL MUNICIPIO.</w:t>
      </w:r>
    </w:p>
    <w:p>
      <w:pPr>
        <w:pStyle w:val="BodyText"/>
        <w:rPr>
          <w:b/>
          <w:sz w:val="20"/>
        </w:rPr>
      </w:pPr>
    </w:p>
    <w:p>
      <w:pPr>
        <w:pStyle w:val="BodyText"/>
        <w:spacing w:before="3"/>
        <w:rPr>
          <w:b/>
          <w:sz w:val="28"/>
        </w:rPr>
      </w:pPr>
    </w:p>
    <w:p>
      <w:pPr>
        <w:pStyle w:val="Heading4"/>
      </w:pPr>
      <w:r>
        <w:rPr/>
        <w:t>1.-TERRITORIO</w:t>
      </w:r>
    </w:p>
    <w:p>
      <w:pPr>
        <w:pStyle w:val="BodyText"/>
        <w:rPr>
          <w:b/>
          <w:sz w:val="26"/>
        </w:rPr>
      </w:pPr>
    </w:p>
    <w:p>
      <w:pPr>
        <w:pStyle w:val="BodyText"/>
        <w:spacing w:line="259" w:lineRule="auto" w:before="181"/>
        <w:ind w:left="402" w:right="255"/>
        <w:jc w:val="both"/>
      </w:pPr>
      <w:r>
        <w:rPr/>
        <w:t>El</w:t>
      </w:r>
      <w:r>
        <w:rPr>
          <w:spacing w:val="-4"/>
        </w:rPr>
        <w:t> </w:t>
      </w:r>
      <w:r>
        <w:rPr/>
        <w:t>territorio</w:t>
      </w:r>
      <w:r>
        <w:rPr>
          <w:spacing w:val="-4"/>
        </w:rPr>
        <w:t> </w:t>
      </w:r>
      <w:r>
        <w:rPr/>
        <w:t>de</w:t>
      </w:r>
      <w:r>
        <w:rPr>
          <w:spacing w:val="-5"/>
        </w:rPr>
        <w:t> </w:t>
      </w:r>
      <w:r>
        <w:rPr/>
        <w:t>Tías</w:t>
      </w:r>
      <w:r>
        <w:rPr>
          <w:spacing w:val="-2"/>
        </w:rPr>
        <w:t> </w:t>
      </w:r>
      <w:r>
        <w:rPr/>
        <w:t>se</w:t>
      </w:r>
      <w:r>
        <w:rPr>
          <w:spacing w:val="-1"/>
        </w:rPr>
        <w:t> </w:t>
      </w:r>
      <w:r>
        <w:rPr/>
        <w:t>levanta</w:t>
      </w:r>
      <w:r>
        <w:rPr>
          <w:spacing w:val="-4"/>
        </w:rPr>
        <w:t> </w:t>
      </w:r>
      <w:r>
        <w:rPr/>
        <w:t>sobre</w:t>
      </w:r>
      <w:r>
        <w:rPr>
          <w:spacing w:val="-5"/>
        </w:rPr>
        <w:t> </w:t>
      </w:r>
      <w:r>
        <w:rPr/>
        <w:t>una</w:t>
      </w:r>
      <w:r>
        <w:rPr>
          <w:spacing w:val="-5"/>
        </w:rPr>
        <w:t> </w:t>
      </w:r>
      <w:r>
        <w:rPr/>
        <w:t>suave</w:t>
      </w:r>
      <w:r>
        <w:rPr>
          <w:spacing w:val="-4"/>
        </w:rPr>
        <w:t> </w:t>
      </w:r>
      <w:r>
        <w:rPr/>
        <w:t>ladera</w:t>
      </w:r>
      <w:r>
        <w:rPr>
          <w:spacing w:val="-3"/>
        </w:rPr>
        <w:t> </w:t>
      </w:r>
      <w:r>
        <w:rPr/>
        <w:t>y</w:t>
      </w:r>
      <w:r>
        <w:rPr>
          <w:spacing w:val="-4"/>
        </w:rPr>
        <w:t> </w:t>
      </w:r>
      <w:r>
        <w:rPr/>
        <w:t>sus</w:t>
      </w:r>
      <w:r>
        <w:rPr>
          <w:spacing w:val="-2"/>
        </w:rPr>
        <w:t> </w:t>
      </w:r>
      <w:r>
        <w:rPr/>
        <w:t>casas</w:t>
      </w:r>
      <w:r>
        <w:rPr>
          <w:spacing w:val="-1"/>
        </w:rPr>
        <w:t> </w:t>
      </w:r>
      <w:r>
        <w:rPr/>
        <w:t>se</w:t>
      </w:r>
      <w:r>
        <w:rPr>
          <w:spacing w:val="-2"/>
        </w:rPr>
        <w:t> </w:t>
      </w:r>
      <w:r>
        <w:rPr/>
        <w:t>colocan</w:t>
      </w:r>
      <w:r>
        <w:rPr>
          <w:spacing w:val="-4"/>
        </w:rPr>
        <w:t> </w:t>
      </w:r>
      <w:r>
        <w:rPr/>
        <w:t>escalonadas sobre la misma, presidida por la iglesia Nuestra Señora de La Candelaria. Los pueblos que conforman el municipio son Tías, Puerto del Carmen, Mácher, La Asomada, Conil</w:t>
      </w:r>
      <w:r>
        <w:rPr>
          <w:spacing w:val="-38"/>
        </w:rPr>
        <w:t> </w:t>
      </w:r>
      <w:r>
        <w:rPr/>
        <w:t>y Masdache.</w:t>
      </w:r>
    </w:p>
    <w:p>
      <w:pPr>
        <w:pStyle w:val="BodyText"/>
        <w:spacing w:before="11"/>
        <w:rPr>
          <w:sz w:val="25"/>
        </w:rPr>
      </w:pPr>
    </w:p>
    <w:p>
      <w:pPr>
        <w:pStyle w:val="BodyText"/>
        <w:spacing w:line="259" w:lineRule="auto"/>
        <w:ind w:left="402" w:right="263"/>
        <w:jc w:val="both"/>
      </w:pPr>
      <w:r>
        <w:rPr/>
        <w:t>Tías esta situada a 12 kilómetros de Arrecife, capital de Lanzarote, en la vertiente meridional del centro de la isla, en unos suelos que abarcan todas las series volcánicas definidas para Lanzarote, con una extensión de 64,61 kilómetros cuadrados y un perímetro de 37,719 kilómetros, cuyos límites son: al norte, Tinajo, siguiendo los volcanes existentes entre Juan Bello y Peña Paloma; al sur, el mar; por el este, San Bartolomé, desde la Montaña Juan Bello hasta Guacimeta; y al oeste, Yaiza, que desde Peña Paloma alcanza la cúspide de Guardilama y acaba en el mar por el Barranco de la Pila.</w:t>
      </w:r>
    </w:p>
    <w:p>
      <w:pPr>
        <w:spacing w:after="0" w:line="259" w:lineRule="auto"/>
        <w:jc w:val="both"/>
        <w:sectPr>
          <w:headerReference w:type="default" r:id="rId5"/>
          <w:type w:val="continuous"/>
          <w:pgSz w:w="11910" w:h="16840"/>
          <w:pgMar w:header="1217" w:top="2740" w:bottom="280" w:left="1300" w:right="1440"/>
        </w:sectPr>
      </w:pPr>
    </w:p>
    <w:p>
      <w:pPr>
        <w:pStyle w:val="BodyText"/>
        <w:rPr>
          <w:sz w:val="20"/>
        </w:rPr>
      </w:pPr>
    </w:p>
    <w:p>
      <w:pPr>
        <w:pStyle w:val="BodyText"/>
        <w:spacing w:before="3"/>
        <w:rPr>
          <w:sz w:val="19"/>
        </w:rPr>
      </w:pPr>
    </w:p>
    <w:p>
      <w:pPr>
        <w:pStyle w:val="BodyText"/>
        <w:spacing w:line="259" w:lineRule="auto" w:before="90"/>
        <w:ind w:left="402" w:right="262"/>
        <w:jc w:val="both"/>
      </w:pPr>
      <w:r>
        <w:rPr/>
        <w:t>En cuanto al relieve, destaca una cadena montañosa que comienza en el límite con</w:t>
      </w:r>
      <w:r>
        <w:rPr>
          <w:spacing w:val="-39"/>
        </w:rPr>
        <w:t> </w:t>
      </w:r>
      <w:r>
        <w:rPr/>
        <w:t>Yaiza y acaba en el término municipal de San Bartolomé ocupando el centro norte del municipio.</w:t>
      </w:r>
      <w:r>
        <w:rPr>
          <w:spacing w:val="-17"/>
        </w:rPr>
        <w:t> </w:t>
      </w:r>
      <w:r>
        <w:rPr/>
        <w:t>Estas</w:t>
      </w:r>
      <w:r>
        <w:rPr>
          <w:spacing w:val="-17"/>
        </w:rPr>
        <w:t> </w:t>
      </w:r>
      <w:r>
        <w:rPr/>
        <w:t>alineaciones</w:t>
      </w:r>
      <w:r>
        <w:rPr>
          <w:spacing w:val="-17"/>
        </w:rPr>
        <w:t> </w:t>
      </w:r>
      <w:r>
        <w:rPr/>
        <w:t>son</w:t>
      </w:r>
      <w:r>
        <w:rPr>
          <w:spacing w:val="-17"/>
        </w:rPr>
        <w:t> </w:t>
      </w:r>
      <w:r>
        <w:rPr/>
        <w:t>Guardilama,</w:t>
      </w:r>
      <w:r>
        <w:rPr>
          <w:spacing w:val="-15"/>
        </w:rPr>
        <w:t> </w:t>
      </w:r>
      <w:r>
        <w:rPr/>
        <w:t>Gaida,</w:t>
      </w:r>
      <w:r>
        <w:rPr>
          <w:spacing w:val="-17"/>
        </w:rPr>
        <w:t> </w:t>
      </w:r>
      <w:r>
        <w:rPr/>
        <w:t>Montaña</w:t>
      </w:r>
      <w:r>
        <w:rPr>
          <w:spacing w:val="-16"/>
        </w:rPr>
        <w:t> </w:t>
      </w:r>
      <w:r>
        <w:rPr/>
        <w:t>de</w:t>
      </w:r>
      <w:r>
        <w:rPr>
          <w:spacing w:val="-16"/>
        </w:rPr>
        <w:t> </w:t>
      </w:r>
      <w:r>
        <w:rPr/>
        <w:t>La</w:t>
      </w:r>
      <w:r>
        <w:rPr>
          <w:spacing w:val="-16"/>
        </w:rPr>
        <w:t> </w:t>
      </w:r>
      <w:r>
        <w:rPr/>
        <w:t>Asomada,</w:t>
      </w:r>
      <w:r>
        <w:rPr>
          <w:spacing w:val="-17"/>
        </w:rPr>
        <w:t> </w:t>
      </w:r>
      <w:r>
        <w:rPr/>
        <w:t>Montaña Bermeja, Montaña Tesa y Montaña Blanca, siendo la más alta de estas Guardilama, con unos 603 metros de</w:t>
      </w:r>
      <w:r>
        <w:rPr>
          <w:spacing w:val="-2"/>
        </w:rPr>
        <w:t> </w:t>
      </w:r>
      <w:r>
        <w:rPr/>
        <w:t>altura.</w:t>
      </w:r>
    </w:p>
    <w:p>
      <w:pPr>
        <w:pStyle w:val="BodyText"/>
        <w:rPr>
          <w:sz w:val="26"/>
        </w:rPr>
      </w:pPr>
    </w:p>
    <w:p>
      <w:pPr>
        <w:spacing w:before="157"/>
        <w:ind w:left="402" w:right="0" w:firstLine="0"/>
        <w:jc w:val="both"/>
        <w:rPr>
          <w:i/>
          <w:sz w:val="24"/>
        </w:rPr>
      </w:pPr>
      <w:r>
        <w:rPr>
          <w:i/>
          <w:sz w:val="24"/>
        </w:rPr>
        <w:t>(fuente: página web municipal. </w:t>
      </w:r>
      <w:hyperlink r:id="rId6">
        <w:r>
          <w:rPr>
            <w:i/>
            <w:color w:val="0462C1"/>
            <w:sz w:val="24"/>
            <w:u w:val="single" w:color="0462C1"/>
          </w:rPr>
          <w:t>https://www.ayuntamientodetias.es/municipio/</w:t>
        </w:r>
      </w:hyperlink>
      <w:r>
        <w:rPr>
          <w:i/>
          <w:sz w:val="24"/>
        </w:rPr>
        <w:t>)</w:t>
      </w:r>
    </w:p>
    <w:p>
      <w:pPr>
        <w:pStyle w:val="BodyText"/>
        <w:rPr>
          <w:i/>
          <w:sz w:val="20"/>
        </w:rPr>
      </w:pPr>
    </w:p>
    <w:p>
      <w:pPr>
        <w:pStyle w:val="BodyText"/>
        <w:spacing w:before="11"/>
        <w:rPr>
          <w:i/>
          <w:sz w:val="27"/>
        </w:rPr>
      </w:pPr>
    </w:p>
    <w:p>
      <w:pPr>
        <w:pStyle w:val="Heading4"/>
      </w:pPr>
      <w:r>
        <w:rPr/>
        <w:t>2.-</w:t>
      </w:r>
      <w:r>
        <w:rPr>
          <w:spacing w:val="58"/>
        </w:rPr>
        <w:t> </w:t>
      </w:r>
      <w:r>
        <w:rPr/>
        <w:t>POBLACIÓN</w:t>
      </w:r>
    </w:p>
    <w:p>
      <w:pPr>
        <w:pStyle w:val="BodyText"/>
        <w:rPr>
          <w:b/>
          <w:sz w:val="26"/>
        </w:rPr>
      </w:pPr>
    </w:p>
    <w:p>
      <w:pPr>
        <w:pStyle w:val="BodyText"/>
        <w:spacing w:before="7"/>
        <w:rPr>
          <w:b/>
          <w:sz w:val="27"/>
        </w:rPr>
      </w:pPr>
    </w:p>
    <w:p>
      <w:pPr>
        <w:pStyle w:val="BodyText"/>
        <w:ind w:left="402"/>
        <w:jc w:val="both"/>
        <w:rPr>
          <w:i/>
        </w:rPr>
      </w:pPr>
      <w:r>
        <w:rPr/>
        <w:t>(Cifra oficial de población 2025): 21.613 personas. </w:t>
      </w:r>
      <w:r>
        <w:rPr>
          <w:i/>
        </w:rPr>
        <w:t>(fuente INE)</w:t>
      </w:r>
    </w:p>
    <w:p>
      <w:pPr>
        <w:pStyle w:val="BodyText"/>
        <w:rPr>
          <w:i/>
          <w:sz w:val="26"/>
        </w:rPr>
      </w:pPr>
    </w:p>
    <w:p>
      <w:pPr>
        <w:pStyle w:val="BodyText"/>
        <w:spacing w:before="7"/>
        <w:rPr>
          <w:i/>
          <w:sz w:val="27"/>
        </w:rPr>
      </w:pPr>
    </w:p>
    <w:p>
      <w:pPr>
        <w:pStyle w:val="Heading4"/>
        <w:spacing w:line="259" w:lineRule="auto" w:before="1"/>
        <w:ind w:right="263"/>
      </w:pPr>
      <w:r>
        <w:rPr/>
        <w:t>3.- MUNICIPIO EMINENTEMENTE TURÍSTICO CON PRIMACÍA DEL SECTOR SERVICIOS.</w:t>
      </w:r>
    </w:p>
    <w:p>
      <w:pPr>
        <w:pStyle w:val="BodyText"/>
        <w:spacing w:before="9"/>
        <w:rPr>
          <w:b/>
          <w:sz w:val="25"/>
        </w:rPr>
      </w:pPr>
    </w:p>
    <w:p>
      <w:pPr>
        <w:tabs>
          <w:tab w:pos="1013" w:val="left" w:leader="none"/>
          <w:tab w:pos="1875" w:val="left" w:leader="none"/>
          <w:tab w:pos="2561" w:val="left" w:leader="none"/>
          <w:tab w:pos="5207" w:val="left" w:leader="none"/>
          <w:tab w:pos="7214" w:val="left" w:leader="none"/>
          <w:tab w:pos="7740" w:val="left" w:leader="none"/>
        </w:tabs>
        <w:spacing w:line="261" w:lineRule="auto" w:before="0"/>
        <w:ind w:left="402" w:right="263" w:firstLine="0"/>
        <w:jc w:val="left"/>
        <w:rPr>
          <w:b/>
          <w:sz w:val="24"/>
        </w:rPr>
      </w:pPr>
      <w:r>
        <w:rPr>
          <w:b/>
          <w:sz w:val="24"/>
        </w:rPr>
        <w:t>4.-</w:t>
        <w:tab/>
        <w:t>RED</w:t>
        <w:tab/>
        <w:t>DE</w:t>
        <w:tab/>
        <w:t>COMUNICACIONES</w:t>
        <w:tab/>
        <w:t>CARRETERAS</w:t>
        <w:tab/>
        <w:t>Y</w:t>
        <w:tab/>
      </w:r>
      <w:r>
        <w:rPr>
          <w:b/>
          <w:spacing w:val="-3"/>
          <w:sz w:val="24"/>
        </w:rPr>
        <w:t>CAMINOS </w:t>
      </w:r>
      <w:r>
        <w:rPr>
          <w:b/>
          <w:sz w:val="24"/>
        </w:rPr>
        <w:t>FERROCARRILES PUERTOS AEROPUERTOS LÍNEAS</w:t>
      </w:r>
      <w:r>
        <w:rPr>
          <w:b/>
          <w:spacing w:val="-9"/>
          <w:sz w:val="24"/>
        </w:rPr>
        <w:t> </w:t>
      </w:r>
      <w:r>
        <w:rPr>
          <w:b/>
          <w:sz w:val="24"/>
        </w:rPr>
        <w:t>TELEFÓNICAS.</w:t>
      </w:r>
    </w:p>
    <w:p>
      <w:pPr>
        <w:pStyle w:val="BodyText"/>
        <w:spacing w:before="6"/>
        <w:rPr>
          <w:b/>
          <w:sz w:val="25"/>
        </w:rPr>
      </w:pPr>
    </w:p>
    <w:p>
      <w:pPr>
        <w:pStyle w:val="BodyText"/>
        <w:spacing w:line="259" w:lineRule="auto"/>
        <w:ind w:left="402" w:right="259"/>
        <w:jc w:val="both"/>
      </w:pPr>
      <w:r>
        <w:rPr/>
        <w:t>Carreteras; destacar como principal vía de comunicaciones la LZ-2 que conecta en municipio con el municipio de Arrecife (Capital de la Isla de Lanzarote), y con el Aeropuerto (Aeropuerto. César Manrique-Lanzarote)</w:t>
      </w:r>
    </w:p>
    <w:p>
      <w:pPr>
        <w:pStyle w:val="BodyText"/>
        <w:spacing w:before="160"/>
        <w:ind w:left="402"/>
        <w:jc w:val="both"/>
      </w:pPr>
      <w:r>
        <w:rPr/>
        <w:t>Puertos: Destacar Puerto del Carmen</w:t>
      </w:r>
    </w:p>
    <w:p>
      <w:pPr>
        <w:pStyle w:val="BodyText"/>
        <w:spacing w:line="259" w:lineRule="auto" w:before="180"/>
        <w:ind w:left="402" w:right="259"/>
        <w:jc w:val="both"/>
      </w:pPr>
      <w:r>
        <w:rPr/>
        <w:t>Puerto</w:t>
      </w:r>
      <w:r>
        <w:rPr>
          <w:spacing w:val="-11"/>
        </w:rPr>
        <w:t> </w:t>
      </w:r>
      <w:r>
        <w:rPr/>
        <w:t>del</w:t>
      </w:r>
      <w:r>
        <w:rPr>
          <w:spacing w:val="-11"/>
        </w:rPr>
        <w:t> </w:t>
      </w:r>
      <w:r>
        <w:rPr/>
        <w:t>Carmen</w:t>
      </w:r>
      <w:r>
        <w:rPr>
          <w:spacing w:val="-11"/>
        </w:rPr>
        <w:t> </w:t>
      </w:r>
      <w:r>
        <w:rPr/>
        <w:t>es</w:t>
      </w:r>
      <w:r>
        <w:rPr>
          <w:spacing w:val="-11"/>
        </w:rPr>
        <w:t> </w:t>
      </w:r>
      <w:r>
        <w:rPr/>
        <w:t>una</w:t>
      </w:r>
      <w:r>
        <w:rPr>
          <w:spacing w:val="-10"/>
        </w:rPr>
        <w:t> </w:t>
      </w:r>
      <w:r>
        <w:rPr/>
        <w:t>localidad</w:t>
      </w:r>
      <w:r>
        <w:rPr>
          <w:spacing w:val="-11"/>
        </w:rPr>
        <w:t> </w:t>
      </w:r>
      <w:r>
        <w:rPr/>
        <w:t>turística</w:t>
      </w:r>
      <w:r>
        <w:rPr>
          <w:spacing w:val="-12"/>
        </w:rPr>
        <w:t> </w:t>
      </w:r>
      <w:r>
        <w:rPr/>
        <w:t>situada</w:t>
      </w:r>
      <w:r>
        <w:rPr>
          <w:spacing w:val="-12"/>
        </w:rPr>
        <w:t> </w:t>
      </w:r>
      <w:r>
        <w:rPr/>
        <w:t>en</w:t>
      </w:r>
      <w:r>
        <w:rPr>
          <w:spacing w:val="-11"/>
        </w:rPr>
        <w:t> </w:t>
      </w:r>
      <w:r>
        <w:rPr/>
        <w:t>la</w:t>
      </w:r>
      <w:r>
        <w:rPr>
          <w:spacing w:val="-11"/>
        </w:rPr>
        <w:t> </w:t>
      </w:r>
      <w:r>
        <w:rPr/>
        <w:t>costa</w:t>
      </w:r>
      <w:r>
        <w:rPr>
          <w:spacing w:val="-11"/>
        </w:rPr>
        <w:t> </w:t>
      </w:r>
      <w:r>
        <w:rPr/>
        <w:t>SE</w:t>
      </w:r>
      <w:r>
        <w:rPr>
          <w:spacing w:val="-11"/>
        </w:rPr>
        <w:t> </w:t>
      </w:r>
      <w:r>
        <w:rPr/>
        <w:t>de</w:t>
      </w:r>
      <w:r>
        <w:rPr>
          <w:spacing w:val="-12"/>
        </w:rPr>
        <w:t> </w:t>
      </w:r>
      <w:r>
        <w:rPr/>
        <w:t>Lanzarote</w:t>
      </w:r>
      <w:r>
        <w:rPr>
          <w:spacing w:val="-12"/>
        </w:rPr>
        <w:t> </w:t>
      </w:r>
      <w:r>
        <w:rPr/>
        <w:t>y</w:t>
      </w:r>
      <w:r>
        <w:rPr>
          <w:spacing w:val="-11"/>
        </w:rPr>
        <w:t> </w:t>
      </w:r>
      <w:r>
        <w:rPr/>
        <w:t>su</w:t>
      </w:r>
      <w:r>
        <w:rPr>
          <w:spacing w:val="-11"/>
        </w:rPr>
        <w:t> </w:t>
      </w:r>
      <w:r>
        <w:rPr/>
        <w:t>zona portuaria</w:t>
      </w:r>
      <w:r>
        <w:rPr>
          <w:spacing w:val="-15"/>
        </w:rPr>
        <w:t> </w:t>
      </w:r>
      <w:r>
        <w:rPr/>
        <w:t>se</w:t>
      </w:r>
      <w:r>
        <w:rPr>
          <w:spacing w:val="-12"/>
        </w:rPr>
        <w:t> </w:t>
      </w:r>
      <w:r>
        <w:rPr/>
        <w:t>localiza</w:t>
      </w:r>
      <w:r>
        <w:rPr>
          <w:spacing w:val="-13"/>
        </w:rPr>
        <w:t> </w:t>
      </w:r>
      <w:r>
        <w:rPr/>
        <w:t>en</w:t>
      </w:r>
      <w:r>
        <w:rPr>
          <w:spacing w:val="-13"/>
        </w:rPr>
        <w:t> </w:t>
      </w:r>
      <w:r>
        <w:rPr/>
        <w:t>la</w:t>
      </w:r>
      <w:r>
        <w:rPr>
          <w:spacing w:val="-11"/>
        </w:rPr>
        <w:t> </w:t>
      </w:r>
      <w:r>
        <w:rPr/>
        <w:t>zona</w:t>
      </w:r>
      <w:r>
        <w:rPr>
          <w:spacing w:val="-14"/>
        </w:rPr>
        <w:t> </w:t>
      </w:r>
      <w:r>
        <w:rPr/>
        <w:t>intermedia</w:t>
      </w:r>
      <w:r>
        <w:rPr>
          <w:spacing w:val="-14"/>
        </w:rPr>
        <w:t> </w:t>
      </w:r>
      <w:r>
        <w:rPr/>
        <w:t>de</w:t>
      </w:r>
      <w:r>
        <w:rPr>
          <w:spacing w:val="-13"/>
        </w:rPr>
        <w:t> </w:t>
      </w:r>
      <w:r>
        <w:rPr/>
        <w:t>su</w:t>
      </w:r>
      <w:r>
        <w:rPr>
          <w:spacing w:val="-11"/>
        </w:rPr>
        <w:t> </w:t>
      </w:r>
      <w:r>
        <w:rPr/>
        <w:t>extenso</w:t>
      </w:r>
      <w:r>
        <w:rPr>
          <w:spacing w:val="-12"/>
        </w:rPr>
        <w:t> </w:t>
      </w:r>
      <w:r>
        <w:rPr/>
        <w:t>frente</w:t>
      </w:r>
      <w:r>
        <w:rPr>
          <w:spacing w:val="-14"/>
        </w:rPr>
        <w:t> </w:t>
      </w:r>
      <w:r>
        <w:rPr/>
        <w:t>costero.</w:t>
      </w:r>
      <w:r>
        <w:rPr>
          <w:spacing w:val="-13"/>
        </w:rPr>
        <w:t> </w:t>
      </w:r>
      <w:r>
        <w:rPr/>
        <w:t>La</w:t>
      </w:r>
      <w:r>
        <w:rPr>
          <w:spacing w:val="-12"/>
        </w:rPr>
        <w:t> </w:t>
      </w:r>
      <w:r>
        <w:rPr/>
        <w:t>costa</w:t>
      </w:r>
      <w:r>
        <w:rPr>
          <w:spacing w:val="-14"/>
        </w:rPr>
        <w:t> </w:t>
      </w:r>
      <w:r>
        <w:rPr/>
        <w:t>de</w:t>
      </w:r>
      <w:r>
        <w:rPr>
          <w:spacing w:val="-13"/>
        </w:rPr>
        <w:t> </w:t>
      </w:r>
      <w:r>
        <w:rPr/>
        <w:t>Puerto del Carmen está expuesta fundamentalmente a oleajes de procedencia ESE-SE. La</w:t>
      </w:r>
      <w:r>
        <w:rPr>
          <w:spacing w:val="-44"/>
        </w:rPr>
        <w:t> </w:t>
      </w:r>
      <w:r>
        <w:rPr/>
        <w:t>fuerte pendiente</w:t>
      </w:r>
      <w:r>
        <w:rPr>
          <w:spacing w:val="-14"/>
        </w:rPr>
        <w:t> </w:t>
      </w:r>
      <w:r>
        <w:rPr/>
        <w:t>y</w:t>
      </w:r>
      <w:r>
        <w:rPr>
          <w:spacing w:val="-10"/>
        </w:rPr>
        <w:t> </w:t>
      </w:r>
      <w:r>
        <w:rPr/>
        <w:t>escasa</w:t>
      </w:r>
      <w:r>
        <w:rPr>
          <w:spacing w:val="-13"/>
        </w:rPr>
        <w:t> </w:t>
      </w:r>
      <w:r>
        <w:rPr/>
        <w:t>anchura</w:t>
      </w:r>
      <w:r>
        <w:rPr>
          <w:spacing w:val="-14"/>
        </w:rPr>
        <w:t> </w:t>
      </w:r>
      <w:r>
        <w:rPr/>
        <w:t>de</w:t>
      </w:r>
      <w:r>
        <w:rPr>
          <w:spacing w:val="-11"/>
        </w:rPr>
        <w:t> </w:t>
      </w:r>
      <w:r>
        <w:rPr/>
        <w:t>la</w:t>
      </w:r>
      <w:r>
        <w:rPr>
          <w:spacing w:val="-13"/>
        </w:rPr>
        <w:t> </w:t>
      </w:r>
      <w:r>
        <w:rPr/>
        <w:t>plataforma</w:t>
      </w:r>
      <w:r>
        <w:rPr>
          <w:spacing w:val="-11"/>
        </w:rPr>
        <w:t> </w:t>
      </w:r>
      <w:r>
        <w:rPr/>
        <w:t>costera</w:t>
      </w:r>
      <w:r>
        <w:rPr>
          <w:spacing w:val="-14"/>
        </w:rPr>
        <w:t> </w:t>
      </w:r>
      <w:r>
        <w:rPr/>
        <w:t>delante</w:t>
      </w:r>
      <w:r>
        <w:rPr>
          <w:spacing w:val="-11"/>
        </w:rPr>
        <w:t> </w:t>
      </w:r>
      <w:r>
        <w:rPr/>
        <w:t>del</w:t>
      </w:r>
      <w:r>
        <w:rPr>
          <w:spacing w:val="-12"/>
        </w:rPr>
        <w:t> </w:t>
      </w:r>
      <w:r>
        <w:rPr/>
        <w:t>puerto</w:t>
      </w:r>
      <w:r>
        <w:rPr>
          <w:spacing w:val="-13"/>
        </w:rPr>
        <w:t> </w:t>
      </w:r>
      <w:r>
        <w:rPr/>
        <w:t>hace</w:t>
      </w:r>
      <w:r>
        <w:rPr>
          <w:spacing w:val="-11"/>
        </w:rPr>
        <w:t> </w:t>
      </w:r>
      <w:r>
        <w:rPr/>
        <w:t>que</w:t>
      </w:r>
      <w:r>
        <w:rPr>
          <w:spacing w:val="-13"/>
        </w:rPr>
        <w:t> </w:t>
      </w:r>
      <w:r>
        <w:rPr/>
        <w:t>la</w:t>
      </w:r>
      <w:r>
        <w:rPr>
          <w:spacing w:val="-13"/>
        </w:rPr>
        <w:t> </w:t>
      </w:r>
      <w:r>
        <w:rPr/>
        <w:t>pérdida de energía de las olas sea casi</w:t>
      </w:r>
      <w:r>
        <w:rPr>
          <w:spacing w:val="-5"/>
        </w:rPr>
        <w:t> </w:t>
      </w:r>
      <w:r>
        <w:rPr/>
        <w:t>nula.</w:t>
      </w:r>
    </w:p>
    <w:p>
      <w:pPr>
        <w:pStyle w:val="BodyText"/>
        <w:spacing w:line="259" w:lineRule="auto"/>
        <w:ind w:left="402" w:right="260"/>
        <w:jc w:val="both"/>
      </w:pPr>
      <w:r>
        <w:rPr/>
        <w:t>El</w:t>
      </w:r>
      <w:r>
        <w:rPr>
          <w:spacing w:val="-16"/>
        </w:rPr>
        <w:t> </w:t>
      </w:r>
      <w:r>
        <w:rPr/>
        <w:t>acceso</w:t>
      </w:r>
      <w:r>
        <w:rPr>
          <w:spacing w:val="-16"/>
        </w:rPr>
        <w:t> </w:t>
      </w:r>
      <w:r>
        <w:rPr/>
        <w:t>marítimo</w:t>
      </w:r>
      <w:r>
        <w:rPr>
          <w:spacing w:val="-16"/>
        </w:rPr>
        <w:t> </w:t>
      </w:r>
      <w:r>
        <w:rPr/>
        <w:t>se</w:t>
      </w:r>
      <w:r>
        <w:rPr>
          <w:spacing w:val="-14"/>
        </w:rPr>
        <w:t> </w:t>
      </w:r>
      <w:r>
        <w:rPr/>
        <w:t>realiza</w:t>
      </w:r>
      <w:r>
        <w:rPr>
          <w:spacing w:val="-17"/>
        </w:rPr>
        <w:t> </w:t>
      </w:r>
      <w:r>
        <w:rPr/>
        <w:t>poniendo</w:t>
      </w:r>
      <w:r>
        <w:rPr>
          <w:spacing w:val="-16"/>
        </w:rPr>
        <w:t> </w:t>
      </w:r>
      <w:r>
        <w:rPr/>
        <w:t>rumbo</w:t>
      </w:r>
      <w:r>
        <w:rPr>
          <w:spacing w:val="-14"/>
        </w:rPr>
        <w:t> </w:t>
      </w:r>
      <w:r>
        <w:rPr/>
        <w:t>NE</w:t>
      </w:r>
      <w:r>
        <w:rPr>
          <w:spacing w:val="-14"/>
        </w:rPr>
        <w:t> </w:t>
      </w:r>
      <w:r>
        <w:rPr/>
        <w:t>una</w:t>
      </w:r>
      <w:r>
        <w:rPr>
          <w:spacing w:val="-17"/>
        </w:rPr>
        <w:t> </w:t>
      </w:r>
      <w:r>
        <w:rPr/>
        <w:t>vez</w:t>
      </w:r>
      <w:r>
        <w:rPr>
          <w:spacing w:val="-15"/>
        </w:rPr>
        <w:t> </w:t>
      </w:r>
      <w:r>
        <w:rPr/>
        <w:t>que</w:t>
      </w:r>
      <w:r>
        <w:rPr>
          <w:spacing w:val="-17"/>
        </w:rPr>
        <w:t> </w:t>
      </w:r>
      <w:r>
        <w:rPr/>
        <w:t>se</w:t>
      </w:r>
      <w:r>
        <w:rPr>
          <w:spacing w:val="-17"/>
        </w:rPr>
        <w:t> </w:t>
      </w:r>
      <w:r>
        <w:rPr/>
        <w:t>ha</w:t>
      </w:r>
      <w:r>
        <w:rPr>
          <w:spacing w:val="-15"/>
        </w:rPr>
        <w:t> </w:t>
      </w:r>
      <w:r>
        <w:rPr/>
        <w:t>sobrepasado</w:t>
      </w:r>
      <w:r>
        <w:rPr>
          <w:spacing w:val="-16"/>
        </w:rPr>
        <w:t> </w:t>
      </w:r>
      <w:r>
        <w:rPr/>
        <w:t>el</w:t>
      </w:r>
      <w:r>
        <w:rPr>
          <w:spacing w:val="-15"/>
        </w:rPr>
        <w:t> </w:t>
      </w:r>
      <w:r>
        <w:rPr/>
        <w:t>morro del dique de abrigo. El dique que cierra la zona más profunda de la bocana del puerto obliga</w:t>
      </w:r>
      <w:r>
        <w:rPr>
          <w:spacing w:val="-7"/>
        </w:rPr>
        <w:t> </w:t>
      </w:r>
      <w:r>
        <w:rPr/>
        <w:t>a</w:t>
      </w:r>
      <w:r>
        <w:rPr>
          <w:spacing w:val="-7"/>
        </w:rPr>
        <w:t> </w:t>
      </w:r>
      <w:r>
        <w:rPr/>
        <w:t>aproximarse</w:t>
      </w:r>
      <w:r>
        <w:rPr>
          <w:spacing w:val="-5"/>
        </w:rPr>
        <w:t> </w:t>
      </w:r>
      <w:r>
        <w:rPr/>
        <w:t>a</w:t>
      </w:r>
      <w:r>
        <w:rPr>
          <w:spacing w:val="-7"/>
        </w:rPr>
        <w:t> </w:t>
      </w:r>
      <w:r>
        <w:rPr/>
        <w:t>la</w:t>
      </w:r>
      <w:r>
        <w:rPr>
          <w:spacing w:val="-1"/>
        </w:rPr>
        <w:t> </w:t>
      </w:r>
      <w:r>
        <w:rPr/>
        <w:t>recortada</w:t>
      </w:r>
      <w:r>
        <w:rPr>
          <w:spacing w:val="-5"/>
        </w:rPr>
        <w:t> </w:t>
      </w:r>
      <w:r>
        <w:rPr/>
        <w:t>costa</w:t>
      </w:r>
      <w:r>
        <w:rPr>
          <w:spacing w:val="-7"/>
        </w:rPr>
        <w:t> </w:t>
      </w:r>
      <w:r>
        <w:rPr/>
        <w:t>rocosa</w:t>
      </w:r>
      <w:r>
        <w:rPr>
          <w:spacing w:val="-6"/>
        </w:rPr>
        <w:t> </w:t>
      </w:r>
      <w:r>
        <w:rPr/>
        <w:t>donde</w:t>
      </w:r>
      <w:r>
        <w:rPr>
          <w:spacing w:val="-7"/>
        </w:rPr>
        <w:t> </w:t>
      </w:r>
      <w:r>
        <w:rPr/>
        <w:t>las</w:t>
      </w:r>
      <w:r>
        <w:rPr>
          <w:spacing w:val="-5"/>
        </w:rPr>
        <w:t> </w:t>
      </w:r>
      <w:r>
        <w:rPr/>
        <w:t>profundidades</w:t>
      </w:r>
      <w:r>
        <w:rPr>
          <w:spacing w:val="-4"/>
        </w:rPr>
        <w:t> </w:t>
      </w:r>
      <w:r>
        <w:rPr/>
        <w:t>son</w:t>
      </w:r>
      <w:r>
        <w:rPr>
          <w:spacing w:val="-6"/>
        </w:rPr>
        <w:t> </w:t>
      </w:r>
      <w:r>
        <w:rPr/>
        <w:t>menores,</w:t>
      </w:r>
      <w:r>
        <w:rPr>
          <w:spacing w:val="-5"/>
        </w:rPr>
        <w:t> </w:t>
      </w:r>
      <w:r>
        <w:rPr/>
        <w:t>si bien con suficiente margen para embarcaciones de pequeño y medio</w:t>
      </w:r>
      <w:r>
        <w:rPr>
          <w:spacing w:val="-5"/>
        </w:rPr>
        <w:t> </w:t>
      </w:r>
      <w:r>
        <w:rPr/>
        <w:t>porte.</w:t>
      </w:r>
    </w:p>
    <w:p>
      <w:pPr>
        <w:pStyle w:val="BodyText"/>
        <w:spacing w:line="275" w:lineRule="exact"/>
        <w:ind w:left="402"/>
        <w:jc w:val="both"/>
      </w:pPr>
      <w:r>
        <w:rPr/>
        <w:t>Nombre del puerto: Puerto del Carmen Ubicación: Tías (Lanzarote) Coordenadas: 28º</w:t>
      </w:r>
    </w:p>
    <w:p>
      <w:pPr>
        <w:pStyle w:val="BodyText"/>
        <w:spacing w:before="22"/>
        <w:ind w:left="402"/>
        <w:jc w:val="both"/>
      </w:pPr>
      <w:r>
        <w:rPr/>
        <w:t>55,15′ N 13º 40,30′ W</w:t>
      </w:r>
    </w:p>
    <w:p>
      <w:pPr>
        <w:pStyle w:val="BodyText"/>
        <w:spacing w:before="10"/>
        <w:rPr>
          <w:sz w:val="27"/>
        </w:rPr>
      </w:pPr>
    </w:p>
    <w:p>
      <w:pPr>
        <w:spacing w:before="1"/>
        <w:ind w:left="402" w:right="0" w:firstLine="0"/>
        <w:jc w:val="both"/>
        <w:rPr>
          <w:i/>
          <w:sz w:val="24"/>
        </w:rPr>
      </w:pPr>
      <w:r>
        <w:rPr>
          <w:i/>
          <w:sz w:val="24"/>
        </w:rPr>
        <w:t>(fuente: Puertos Canarios. https://puertoscanarios.es/project/puerto-del-carmen/)</w:t>
      </w:r>
    </w:p>
    <w:p>
      <w:pPr>
        <w:spacing w:after="0"/>
        <w:jc w:val="both"/>
        <w:rPr>
          <w:sz w:val="24"/>
        </w:rPr>
        <w:sectPr>
          <w:pgSz w:w="11910" w:h="16840"/>
          <w:pgMar w:header="1217" w:footer="0" w:top="2740" w:bottom="280" w:left="1300" w:right="1440"/>
        </w:sectPr>
      </w:pPr>
    </w:p>
    <w:p>
      <w:pPr>
        <w:pStyle w:val="BodyText"/>
        <w:rPr>
          <w:i/>
          <w:sz w:val="20"/>
        </w:rPr>
      </w:pPr>
    </w:p>
    <w:p>
      <w:pPr>
        <w:pStyle w:val="BodyText"/>
        <w:spacing w:before="3"/>
        <w:rPr>
          <w:i/>
          <w:sz w:val="19"/>
        </w:rPr>
      </w:pPr>
    </w:p>
    <w:p>
      <w:pPr>
        <w:pStyle w:val="Heading4"/>
      </w:pPr>
      <w:r>
        <w:rPr/>
        <w:t>5.- INSTALACIONES CULTURALES Y DEPORTIVAS.</w:t>
      </w:r>
    </w:p>
    <w:p>
      <w:pPr>
        <w:pStyle w:val="BodyText"/>
        <w:spacing w:before="8"/>
        <w:rPr>
          <w:b/>
          <w:sz w:val="27"/>
        </w:rPr>
      </w:pPr>
    </w:p>
    <w:p>
      <w:pPr>
        <w:pStyle w:val="BodyText"/>
        <w:spacing w:before="1"/>
        <w:ind w:left="402"/>
      </w:pPr>
      <w:r>
        <w:rPr/>
        <w:t>Respecto a instalaciones culturales y deportivas cabe destacar entre otras:</w:t>
      </w:r>
    </w:p>
    <w:p>
      <w:pPr>
        <w:pStyle w:val="BodyText"/>
        <w:spacing w:before="8"/>
        <w:rPr>
          <w:sz w:val="27"/>
        </w:rPr>
      </w:pPr>
    </w:p>
    <w:p>
      <w:pPr>
        <w:pStyle w:val="ListParagraph"/>
        <w:numPr>
          <w:ilvl w:val="0"/>
          <w:numId w:val="1"/>
        </w:numPr>
        <w:tabs>
          <w:tab w:pos="563" w:val="left" w:leader="none"/>
        </w:tabs>
        <w:spacing w:line="259" w:lineRule="auto" w:before="0" w:after="0"/>
        <w:ind w:left="402" w:right="262" w:firstLine="0"/>
        <w:jc w:val="both"/>
        <w:rPr>
          <w:sz w:val="24"/>
        </w:rPr>
      </w:pPr>
      <w:r>
        <w:rPr>
          <w:sz w:val="24"/>
        </w:rPr>
        <w:t>Campo de fútbol Manuel Arrocha García (Puerto del Carmen) Localidad: Puerto del Carmen. Calle: C/ El</w:t>
      </w:r>
      <w:r>
        <w:rPr>
          <w:spacing w:val="-1"/>
          <w:sz w:val="24"/>
        </w:rPr>
        <w:t> </w:t>
      </w:r>
      <w:r>
        <w:rPr>
          <w:sz w:val="24"/>
        </w:rPr>
        <w:t>Rompimiento.</w:t>
      </w:r>
    </w:p>
    <w:p>
      <w:pPr>
        <w:pStyle w:val="BodyText"/>
        <w:spacing w:before="10"/>
        <w:rPr>
          <w:sz w:val="25"/>
        </w:rPr>
      </w:pPr>
    </w:p>
    <w:p>
      <w:pPr>
        <w:pStyle w:val="ListParagraph"/>
        <w:numPr>
          <w:ilvl w:val="0"/>
          <w:numId w:val="1"/>
        </w:numPr>
        <w:tabs>
          <w:tab w:pos="532" w:val="left" w:leader="none"/>
        </w:tabs>
        <w:spacing w:line="240" w:lineRule="auto" w:before="0" w:after="0"/>
        <w:ind w:left="531" w:right="0" w:hanging="130"/>
        <w:jc w:val="left"/>
        <w:rPr>
          <w:sz w:val="24"/>
        </w:rPr>
      </w:pPr>
      <w:r>
        <w:rPr>
          <w:sz w:val="24"/>
        </w:rPr>
        <w:t>Campo</w:t>
      </w:r>
      <w:r>
        <w:rPr>
          <w:spacing w:val="-12"/>
          <w:sz w:val="24"/>
        </w:rPr>
        <w:t> </w:t>
      </w:r>
      <w:r>
        <w:rPr>
          <w:sz w:val="24"/>
        </w:rPr>
        <w:t>de</w:t>
      </w:r>
      <w:r>
        <w:rPr>
          <w:spacing w:val="-12"/>
          <w:sz w:val="24"/>
        </w:rPr>
        <w:t> </w:t>
      </w:r>
      <w:r>
        <w:rPr>
          <w:sz w:val="24"/>
        </w:rPr>
        <w:t>fútbol</w:t>
      </w:r>
      <w:r>
        <w:rPr>
          <w:spacing w:val="-11"/>
          <w:sz w:val="24"/>
        </w:rPr>
        <w:t> </w:t>
      </w:r>
      <w:r>
        <w:rPr>
          <w:sz w:val="24"/>
        </w:rPr>
        <w:t>Francisco</w:t>
      </w:r>
      <w:r>
        <w:rPr>
          <w:spacing w:val="-12"/>
          <w:sz w:val="24"/>
        </w:rPr>
        <w:t> </w:t>
      </w:r>
      <w:r>
        <w:rPr>
          <w:sz w:val="24"/>
        </w:rPr>
        <w:t>Bermúdez</w:t>
      </w:r>
      <w:r>
        <w:rPr>
          <w:spacing w:val="-12"/>
          <w:sz w:val="24"/>
        </w:rPr>
        <w:t> </w:t>
      </w:r>
      <w:r>
        <w:rPr>
          <w:sz w:val="24"/>
        </w:rPr>
        <w:t>“Pancho”.</w:t>
      </w:r>
      <w:r>
        <w:rPr>
          <w:spacing w:val="-11"/>
          <w:sz w:val="24"/>
        </w:rPr>
        <w:t> </w:t>
      </w:r>
      <w:r>
        <w:rPr>
          <w:sz w:val="24"/>
        </w:rPr>
        <w:t>Localidad:</w:t>
      </w:r>
      <w:r>
        <w:rPr>
          <w:spacing w:val="-11"/>
          <w:sz w:val="24"/>
        </w:rPr>
        <w:t> </w:t>
      </w:r>
      <w:r>
        <w:rPr>
          <w:sz w:val="24"/>
        </w:rPr>
        <w:t>Tías,</w:t>
      </w:r>
      <w:r>
        <w:rPr>
          <w:spacing w:val="-12"/>
          <w:sz w:val="24"/>
        </w:rPr>
        <w:t> </w:t>
      </w:r>
      <w:r>
        <w:rPr>
          <w:sz w:val="24"/>
        </w:rPr>
        <w:t>Calle:</w:t>
      </w:r>
      <w:r>
        <w:rPr>
          <w:spacing w:val="-11"/>
          <w:sz w:val="24"/>
        </w:rPr>
        <w:t> </w:t>
      </w:r>
      <w:r>
        <w:rPr>
          <w:sz w:val="24"/>
        </w:rPr>
        <w:t>C/</w:t>
      </w:r>
      <w:r>
        <w:rPr>
          <w:spacing w:val="-13"/>
          <w:sz w:val="24"/>
        </w:rPr>
        <w:t> </w:t>
      </w:r>
      <w:r>
        <w:rPr>
          <w:sz w:val="24"/>
        </w:rPr>
        <w:t>La</w:t>
      </w:r>
      <w:r>
        <w:rPr>
          <w:spacing w:val="-12"/>
          <w:sz w:val="24"/>
        </w:rPr>
        <w:t> </w:t>
      </w:r>
      <w:r>
        <w:rPr>
          <w:sz w:val="24"/>
        </w:rPr>
        <w:t>Luchada.</w:t>
      </w:r>
    </w:p>
    <w:p>
      <w:pPr>
        <w:pStyle w:val="BodyText"/>
        <w:rPr>
          <w:sz w:val="28"/>
        </w:rPr>
      </w:pPr>
    </w:p>
    <w:p>
      <w:pPr>
        <w:pStyle w:val="ListParagraph"/>
        <w:numPr>
          <w:ilvl w:val="0"/>
          <w:numId w:val="1"/>
        </w:numPr>
        <w:tabs>
          <w:tab w:pos="542" w:val="left" w:leader="none"/>
        </w:tabs>
        <w:spacing w:line="240" w:lineRule="auto" w:before="0" w:after="0"/>
        <w:ind w:left="541" w:right="0" w:hanging="140"/>
        <w:jc w:val="left"/>
        <w:rPr>
          <w:sz w:val="24"/>
        </w:rPr>
      </w:pPr>
      <w:r>
        <w:rPr>
          <w:sz w:val="24"/>
        </w:rPr>
        <w:t>Cancha municipal de Conil. Localidad: Conil, Calle: Cmno. Valeriano, Nº</w:t>
      </w:r>
      <w:r>
        <w:rPr>
          <w:spacing w:val="-7"/>
          <w:sz w:val="24"/>
        </w:rPr>
        <w:t> </w:t>
      </w:r>
      <w:r>
        <w:rPr>
          <w:sz w:val="24"/>
        </w:rPr>
        <w:t>1</w:t>
      </w:r>
    </w:p>
    <w:p>
      <w:pPr>
        <w:pStyle w:val="BodyText"/>
        <w:spacing w:before="8"/>
        <w:rPr>
          <w:sz w:val="27"/>
        </w:rPr>
      </w:pPr>
    </w:p>
    <w:p>
      <w:pPr>
        <w:pStyle w:val="ListParagraph"/>
        <w:numPr>
          <w:ilvl w:val="0"/>
          <w:numId w:val="1"/>
        </w:numPr>
        <w:tabs>
          <w:tab w:pos="544" w:val="left" w:leader="none"/>
        </w:tabs>
        <w:spacing w:line="259" w:lineRule="auto" w:before="0" w:after="0"/>
        <w:ind w:left="402" w:right="260" w:firstLine="0"/>
        <w:jc w:val="both"/>
        <w:rPr>
          <w:sz w:val="24"/>
        </w:rPr>
      </w:pPr>
      <w:r>
        <w:rPr>
          <w:sz w:val="24"/>
        </w:rPr>
        <w:t>Cancha municipal de La Asomada. Localidad: La Asomada, Calle: Ctra. Asomada-Las Vegas</w:t>
      </w:r>
    </w:p>
    <w:p>
      <w:pPr>
        <w:pStyle w:val="BodyText"/>
        <w:spacing w:before="10"/>
        <w:rPr>
          <w:sz w:val="25"/>
        </w:rPr>
      </w:pPr>
    </w:p>
    <w:p>
      <w:pPr>
        <w:pStyle w:val="ListParagraph"/>
        <w:numPr>
          <w:ilvl w:val="0"/>
          <w:numId w:val="1"/>
        </w:numPr>
        <w:tabs>
          <w:tab w:pos="532" w:val="left" w:leader="none"/>
        </w:tabs>
        <w:spacing w:line="240" w:lineRule="auto" w:before="0" w:after="0"/>
        <w:ind w:left="531" w:right="0" w:hanging="130"/>
        <w:jc w:val="left"/>
        <w:rPr>
          <w:sz w:val="24"/>
        </w:rPr>
      </w:pPr>
      <w:r>
        <w:rPr>
          <w:sz w:val="24"/>
        </w:rPr>
        <w:t>Cancha municipal de Los Lirios, Localidad: Tías, Calle: C/</w:t>
      </w:r>
      <w:r>
        <w:rPr>
          <w:spacing w:val="-5"/>
          <w:sz w:val="24"/>
        </w:rPr>
        <w:t> </w:t>
      </w:r>
      <w:r>
        <w:rPr>
          <w:sz w:val="24"/>
        </w:rPr>
        <w:t>Tajinaste</w:t>
      </w:r>
    </w:p>
    <w:p>
      <w:pPr>
        <w:pStyle w:val="BodyText"/>
        <w:spacing w:before="8"/>
        <w:rPr>
          <w:sz w:val="27"/>
        </w:rPr>
      </w:pPr>
    </w:p>
    <w:p>
      <w:pPr>
        <w:pStyle w:val="ListParagraph"/>
        <w:numPr>
          <w:ilvl w:val="0"/>
          <w:numId w:val="1"/>
        </w:numPr>
        <w:tabs>
          <w:tab w:pos="542" w:val="left" w:leader="none"/>
        </w:tabs>
        <w:spacing w:line="240" w:lineRule="auto" w:before="0" w:after="0"/>
        <w:ind w:left="541" w:right="0" w:hanging="140"/>
        <w:jc w:val="left"/>
        <w:rPr>
          <w:sz w:val="24"/>
        </w:rPr>
      </w:pPr>
      <w:r>
        <w:rPr>
          <w:sz w:val="24"/>
        </w:rPr>
        <w:t>Cancha municipal de Mácher. Localidad: Mácher, Calle: Ctra. Tías-Mácher, Nº</w:t>
      </w:r>
      <w:r>
        <w:rPr>
          <w:spacing w:val="-21"/>
          <w:sz w:val="24"/>
        </w:rPr>
        <w:t> </w:t>
      </w:r>
      <w:r>
        <w:rPr>
          <w:sz w:val="24"/>
        </w:rPr>
        <w:t>80.</w:t>
      </w:r>
    </w:p>
    <w:p>
      <w:pPr>
        <w:pStyle w:val="BodyText"/>
        <w:rPr>
          <w:sz w:val="28"/>
        </w:rPr>
      </w:pPr>
    </w:p>
    <w:p>
      <w:pPr>
        <w:pStyle w:val="ListParagraph"/>
        <w:numPr>
          <w:ilvl w:val="0"/>
          <w:numId w:val="1"/>
        </w:numPr>
        <w:tabs>
          <w:tab w:pos="542" w:val="left" w:leader="none"/>
        </w:tabs>
        <w:spacing w:line="240" w:lineRule="auto" w:before="0" w:after="0"/>
        <w:ind w:left="541" w:right="0" w:hanging="140"/>
        <w:jc w:val="left"/>
        <w:rPr>
          <w:sz w:val="24"/>
        </w:rPr>
      </w:pPr>
      <w:r>
        <w:rPr>
          <w:sz w:val="24"/>
        </w:rPr>
        <w:t>Cancha municipal de Masdache, Localidad: Masdache, Calle: Cmno. Juan Bello, Nº</w:t>
      </w:r>
      <w:r>
        <w:rPr>
          <w:spacing w:val="-12"/>
          <w:sz w:val="24"/>
        </w:rPr>
        <w:t> </w:t>
      </w:r>
      <w:r>
        <w:rPr>
          <w:sz w:val="24"/>
        </w:rPr>
        <w:t>4.</w:t>
      </w:r>
    </w:p>
    <w:p>
      <w:pPr>
        <w:pStyle w:val="BodyText"/>
        <w:spacing w:before="9"/>
        <w:rPr>
          <w:sz w:val="27"/>
        </w:rPr>
      </w:pPr>
    </w:p>
    <w:p>
      <w:pPr>
        <w:pStyle w:val="ListParagraph"/>
        <w:numPr>
          <w:ilvl w:val="0"/>
          <w:numId w:val="1"/>
        </w:numPr>
        <w:tabs>
          <w:tab w:pos="568" w:val="left" w:leader="none"/>
        </w:tabs>
        <w:spacing w:line="259" w:lineRule="auto" w:before="0" w:after="0"/>
        <w:ind w:left="402" w:right="257" w:firstLine="0"/>
        <w:jc w:val="both"/>
        <w:rPr>
          <w:sz w:val="24"/>
        </w:rPr>
      </w:pPr>
      <w:r>
        <w:rPr>
          <w:sz w:val="24"/>
        </w:rPr>
        <w:t>Cancha municipal San Antonio (Puerto del Carmen). Localidad: Puerto del Carmen, Calle: C/</w:t>
      </w:r>
      <w:r>
        <w:rPr>
          <w:spacing w:val="-1"/>
          <w:sz w:val="24"/>
        </w:rPr>
        <w:t> </w:t>
      </w:r>
      <w:r>
        <w:rPr>
          <w:sz w:val="24"/>
        </w:rPr>
        <w:t>Alemania.</w:t>
      </w:r>
    </w:p>
    <w:p>
      <w:pPr>
        <w:pStyle w:val="BodyText"/>
        <w:spacing w:before="9"/>
        <w:rPr>
          <w:sz w:val="25"/>
        </w:rPr>
      </w:pPr>
    </w:p>
    <w:p>
      <w:pPr>
        <w:pStyle w:val="ListParagraph"/>
        <w:numPr>
          <w:ilvl w:val="0"/>
          <w:numId w:val="1"/>
        </w:numPr>
        <w:tabs>
          <w:tab w:pos="542" w:val="left" w:leader="none"/>
        </w:tabs>
        <w:spacing w:line="259" w:lineRule="auto" w:before="0" w:after="0"/>
        <w:ind w:left="402" w:right="372" w:firstLine="0"/>
        <w:jc w:val="both"/>
        <w:rPr>
          <w:sz w:val="24"/>
        </w:rPr>
      </w:pPr>
      <w:r>
        <w:rPr>
          <w:sz w:val="24"/>
        </w:rPr>
        <w:t>Club de tenis y padel match point (Puerto del Carmen), Localidad: Puerto del Carmen Calle: Los Roferos,</w:t>
      </w:r>
      <w:r>
        <w:rPr>
          <w:spacing w:val="-1"/>
          <w:sz w:val="24"/>
        </w:rPr>
        <w:t> </w:t>
      </w:r>
      <w:r>
        <w:rPr>
          <w:sz w:val="24"/>
        </w:rPr>
        <w:t>1.</w:t>
      </w:r>
    </w:p>
    <w:p>
      <w:pPr>
        <w:pStyle w:val="BodyText"/>
        <w:spacing w:before="9"/>
        <w:rPr>
          <w:sz w:val="25"/>
        </w:rPr>
      </w:pPr>
    </w:p>
    <w:p>
      <w:pPr>
        <w:pStyle w:val="ListParagraph"/>
        <w:numPr>
          <w:ilvl w:val="0"/>
          <w:numId w:val="1"/>
        </w:numPr>
        <w:tabs>
          <w:tab w:pos="542" w:val="left" w:leader="none"/>
        </w:tabs>
        <w:spacing w:line="240" w:lineRule="auto" w:before="1" w:after="0"/>
        <w:ind w:left="541" w:right="0" w:hanging="140"/>
        <w:jc w:val="left"/>
        <w:rPr>
          <w:sz w:val="24"/>
        </w:rPr>
      </w:pPr>
      <w:r>
        <w:rPr>
          <w:sz w:val="24"/>
        </w:rPr>
        <w:t>Gimnasio municipal de Tías, Localidad: Tías Calle: C/ La</w:t>
      </w:r>
      <w:r>
        <w:rPr>
          <w:spacing w:val="-2"/>
          <w:sz w:val="24"/>
        </w:rPr>
        <w:t> </w:t>
      </w:r>
      <w:r>
        <w:rPr>
          <w:sz w:val="24"/>
        </w:rPr>
        <w:t>luchada.</w:t>
      </w:r>
    </w:p>
    <w:p>
      <w:pPr>
        <w:pStyle w:val="BodyText"/>
        <w:spacing w:before="8"/>
        <w:rPr>
          <w:sz w:val="27"/>
        </w:rPr>
      </w:pPr>
    </w:p>
    <w:p>
      <w:pPr>
        <w:pStyle w:val="ListParagraph"/>
        <w:numPr>
          <w:ilvl w:val="0"/>
          <w:numId w:val="1"/>
        </w:numPr>
        <w:tabs>
          <w:tab w:pos="542" w:val="left" w:leader="none"/>
        </w:tabs>
        <w:spacing w:line="240" w:lineRule="auto" w:before="0" w:after="0"/>
        <w:ind w:left="541" w:right="0" w:hanging="140"/>
        <w:jc w:val="left"/>
        <w:rPr>
          <w:sz w:val="24"/>
        </w:rPr>
      </w:pPr>
      <w:r>
        <w:rPr>
          <w:sz w:val="24"/>
        </w:rPr>
        <w:t>Pabellón municipal de Tías, Localidad: Tías, Calle: C/ La</w:t>
      </w:r>
      <w:r>
        <w:rPr>
          <w:spacing w:val="-2"/>
          <w:sz w:val="24"/>
        </w:rPr>
        <w:t> </w:t>
      </w:r>
      <w:r>
        <w:rPr>
          <w:sz w:val="24"/>
        </w:rPr>
        <w:t>Luchada.</w:t>
      </w:r>
    </w:p>
    <w:p>
      <w:pPr>
        <w:pStyle w:val="BodyText"/>
        <w:rPr>
          <w:sz w:val="28"/>
        </w:rPr>
      </w:pPr>
    </w:p>
    <w:p>
      <w:pPr>
        <w:pStyle w:val="ListParagraph"/>
        <w:numPr>
          <w:ilvl w:val="0"/>
          <w:numId w:val="1"/>
        </w:numPr>
        <w:tabs>
          <w:tab w:pos="542" w:val="left" w:leader="none"/>
        </w:tabs>
        <w:spacing w:line="240" w:lineRule="auto" w:before="0" w:after="0"/>
        <w:ind w:left="541" w:right="0" w:hanging="140"/>
        <w:jc w:val="left"/>
        <w:rPr>
          <w:sz w:val="24"/>
        </w:rPr>
      </w:pPr>
      <w:r>
        <w:rPr>
          <w:sz w:val="24"/>
        </w:rPr>
        <w:t>Polideportivo municipal de Tías, Localidad: Tías, Calle: La Luchada, Nº</w:t>
      </w:r>
      <w:r>
        <w:rPr>
          <w:spacing w:val="-5"/>
          <w:sz w:val="24"/>
        </w:rPr>
        <w:t> </w:t>
      </w:r>
      <w:r>
        <w:rPr>
          <w:sz w:val="24"/>
        </w:rPr>
        <w:t>2.</w:t>
      </w:r>
    </w:p>
    <w:p>
      <w:pPr>
        <w:pStyle w:val="BodyText"/>
        <w:spacing w:before="9"/>
        <w:rPr>
          <w:sz w:val="27"/>
        </w:rPr>
      </w:pPr>
    </w:p>
    <w:p>
      <w:pPr>
        <w:pStyle w:val="ListParagraph"/>
        <w:numPr>
          <w:ilvl w:val="0"/>
          <w:numId w:val="1"/>
        </w:numPr>
        <w:tabs>
          <w:tab w:pos="542" w:val="left" w:leader="none"/>
        </w:tabs>
        <w:spacing w:line="240" w:lineRule="auto" w:before="0" w:after="0"/>
        <w:ind w:left="541" w:right="0" w:hanging="140"/>
        <w:jc w:val="left"/>
        <w:rPr>
          <w:sz w:val="24"/>
        </w:rPr>
      </w:pPr>
      <w:r>
        <w:rPr>
          <w:sz w:val="24"/>
        </w:rPr>
        <w:t>Terrero de lucha: «Ulpiano Rodríguez Pérez». Localidad: Tías, Calle: C/ La</w:t>
      </w:r>
      <w:r>
        <w:rPr>
          <w:spacing w:val="-11"/>
          <w:sz w:val="24"/>
        </w:rPr>
        <w:t> </w:t>
      </w:r>
      <w:r>
        <w:rPr>
          <w:sz w:val="24"/>
        </w:rPr>
        <w:t>Luchada</w:t>
      </w:r>
    </w:p>
    <w:p>
      <w:pPr>
        <w:pStyle w:val="BodyText"/>
        <w:spacing w:before="9"/>
        <w:rPr>
          <w:sz w:val="27"/>
        </w:rPr>
      </w:pPr>
    </w:p>
    <w:p>
      <w:pPr>
        <w:pStyle w:val="ListParagraph"/>
        <w:numPr>
          <w:ilvl w:val="0"/>
          <w:numId w:val="1"/>
        </w:numPr>
        <w:tabs>
          <w:tab w:pos="563" w:val="left" w:leader="none"/>
        </w:tabs>
        <w:spacing w:line="259" w:lineRule="auto" w:before="0" w:after="0"/>
        <w:ind w:left="402" w:right="255" w:firstLine="0"/>
        <w:jc w:val="both"/>
        <w:rPr>
          <w:sz w:val="24"/>
        </w:rPr>
      </w:pPr>
      <w:r>
        <w:rPr>
          <w:sz w:val="24"/>
        </w:rPr>
        <w:t>Teatro municipal, c/ San Antonio nº4, Tías, características: dimensiones: 596,30 m2, escenario: 14*10 m- altura: 5m, superficie escenario: 138,6 m2,servicios: camerinos, aseos, almacén, aforo: 450 butacas, año de edificación: 1987, año reforma:</w:t>
      </w:r>
      <w:r>
        <w:rPr>
          <w:spacing w:val="-3"/>
          <w:sz w:val="24"/>
        </w:rPr>
        <w:t> </w:t>
      </w:r>
      <w:r>
        <w:rPr>
          <w:sz w:val="24"/>
        </w:rPr>
        <w:t>2010.</w:t>
      </w:r>
    </w:p>
    <w:p>
      <w:pPr>
        <w:pStyle w:val="BodyText"/>
        <w:spacing w:before="9"/>
        <w:rPr>
          <w:sz w:val="25"/>
        </w:rPr>
      </w:pPr>
    </w:p>
    <w:p>
      <w:pPr>
        <w:pStyle w:val="ListParagraph"/>
        <w:numPr>
          <w:ilvl w:val="0"/>
          <w:numId w:val="1"/>
        </w:numPr>
        <w:tabs>
          <w:tab w:pos="583" w:val="left" w:leader="none"/>
        </w:tabs>
        <w:spacing w:line="261" w:lineRule="auto" w:before="0" w:after="0"/>
        <w:ind w:left="402" w:right="256" w:firstLine="0"/>
        <w:jc w:val="both"/>
        <w:rPr>
          <w:sz w:val="24"/>
        </w:rPr>
      </w:pPr>
      <w:r>
        <w:rPr>
          <w:sz w:val="24"/>
        </w:rPr>
        <w:t>Sala de exposiciones “Ermita de San Antonio” Avenida Central Alcalde Florencio Suárez”, Tías, sala de exposiciones: dimensiones 11,2*8,41m, accesos: 1,</w:t>
      </w:r>
      <w:r>
        <w:rPr>
          <w:spacing w:val="-6"/>
          <w:sz w:val="24"/>
        </w:rPr>
        <w:t> </w:t>
      </w:r>
      <w:r>
        <w:rPr>
          <w:sz w:val="24"/>
        </w:rPr>
        <w:t>equipamiento:</w:t>
      </w:r>
    </w:p>
    <w:p>
      <w:pPr>
        <w:spacing w:after="0" w:line="261" w:lineRule="auto"/>
        <w:jc w:val="both"/>
        <w:rPr>
          <w:sz w:val="24"/>
        </w:rPr>
        <w:sectPr>
          <w:pgSz w:w="11910" w:h="16840"/>
          <w:pgMar w:header="1217" w:footer="0" w:top="2740" w:bottom="280" w:left="1300" w:right="1440"/>
        </w:sectPr>
      </w:pPr>
    </w:p>
    <w:p>
      <w:pPr>
        <w:pStyle w:val="BodyText"/>
        <w:rPr>
          <w:sz w:val="20"/>
        </w:rPr>
      </w:pPr>
    </w:p>
    <w:p>
      <w:pPr>
        <w:pStyle w:val="BodyText"/>
        <w:spacing w:before="3"/>
        <w:rPr>
          <w:sz w:val="19"/>
        </w:rPr>
      </w:pPr>
    </w:p>
    <w:p>
      <w:pPr>
        <w:pStyle w:val="BodyText"/>
        <w:spacing w:line="259" w:lineRule="auto" w:before="90"/>
        <w:ind w:left="402" w:right="260"/>
        <w:jc w:val="both"/>
      </w:pPr>
      <w:r>
        <w:rPr/>
        <w:t>no, pared útil: 100%, iluminación: una vara de focos halógenos direccionales, observaciones: sistema de ganchos y raíles con tanza.</w:t>
      </w:r>
    </w:p>
    <w:p>
      <w:pPr>
        <w:pStyle w:val="BodyText"/>
        <w:spacing w:before="9"/>
        <w:rPr>
          <w:sz w:val="25"/>
        </w:rPr>
      </w:pPr>
    </w:p>
    <w:p>
      <w:pPr>
        <w:pStyle w:val="ListParagraph"/>
        <w:numPr>
          <w:ilvl w:val="0"/>
          <w:numId w:val="1"/>
        </w:numPr>
        <w:tabs>
          <w:tab w:pos="566" w:val="left" w:leader="none"/>
        </w:tabs>
        <w:spacing w:line="259" w:lineRule="auto" w:before="0" w:after="0"/>
        <w:ind w:left="402" w:right="258" w:firstLine="0"/>
        <w:jc w:val="both"/>
        <w:rPr>
          <w:sz w:val="24"/>
        </w:rPr>
      </w:pPr>
      <w:r>
        <w:rPr>
          <w:sz w:val="24"/>
        </w:rPr>
        <w:t>Albergue de Tegoyo; construido a finales del S XIX, en contraste con la textura del volcán,</w:t>
      </w:r>
      <w:r>
        <w:rPr>
          <w:spacing w:val="-6"/>
          <w:sz w:val="24"/>
        </w:rPr>
        <w:t> </w:t>
      </w:r>
      <w:r>
        <w:rPr>
          <w:sz w:val="24"/>
        </w:rPr>
        <w:t>el</w:t>
      </w:r>
      <w:r>
        <w:rPr>
          <w:spacing w:val="-5"/>
          <w:sz w:val="24"/>
        </w:rPr>
        <w:t> </w:t>
      </w:r>
      <w:r>
        <w:rPr>
          <w:sz w:val="24"/>
        </w:rPr>
        <w:t>albergue</w:t>
      </w:r>
      <w:r>
        <w:rPr>
          <w:spacing w:val="-7"/>
          <w:sz w:val="24"/>
        </w:rPr>
        <w:t> </w:t>
      </w:r>
      <w:r>
        <w:rPr>
          <w:sz w:val="24"/>
        </w:rPr>
        <w:t>de</w:t>
      </w:r>
      <w:r>
        <w:rPr>
          <w:spacing w:val="-6"/>
          <w:sz w:val="24"/>
        </w:rPr>
        <w:t> </w:t>
      </w:r>
      <w:r>
        <w:rPr>
          <w:sz w:val="24"/>
        </w:rPr>
        <w:t>tegoyo</w:t>
      </w:r>
      <w:r>
        <w:rPr>
          <w:spacing w:val="-6"/>
          <w:sz w:val="24"/>
        </w:rPr>
        <w:t> </w:t>
      </w:r>
      <w:r>
        <w:rPr>
          <w:sz w:val="24"/>
        </w:rPr>
        <w:t>se</w:t>
      </w:r>
      <w:r>
        <w:rPr>
          <w:spacing w:val="-6"/>
          <w:sz w:val="24"/>
        </w:rPr>
        <w:t> </w:t>
      </w:r>
      <w:r>
        <w:rPr>
          <w:sz w:val="24"/>
        </w:rPr>
        <w:t>refugia</w:t>
      </w:r>
      <w:r>
        <w:rPr>
          <w:spacing w:val="-6"/>
          <w:sz w:val="24"/>
        </w:rPr>
        <w:t> </w:t>
      </w:r>
      <w:r>
        <w:rPr>
          <w:sz w:val="24"/>
        </w:rPr>
        <w:t>del</w:t>
      </w:r>
      <w:r>
        <w:rPr>
          <w:spacing w:val="-5"/>
          <w:sz w:val="24"/>
        </w:rPr>
        <w:t> </w:t>
      </w:r>
      <w:r>
        <w:rPr>
          <w:sz w:val="24"/>
        </w:rPr>
        <w:t>viento</w:t>
      </w:r>
      <w:r>
        <w:rPr>
          <w:spacing w:val="-3"/>
          <w:sz w:val="24"/>
        </w:rPr>
        <w:t> </w:t>
      </w:r>
      <w:r>
        <w:rPr>
          <w:sz w:val="24"/>
        </w:rPr>
        <w:t>y</w:t>
      </w:r>
      <w:r>
        <w:rPr>
          <w:spacing w:val="-6"/>
          <w:sz w:val="24"/>
        </w:rPr>
        <w:t> </w:t>
      </w:r>
      <w:r>
        <w:rPr>
          <w:sz w:val="24"/>
        </w:rPr>
        <w:t>la</w:t>
      </w:r>
      <w:r>
        <w:rPr>
          <w:spacing w:val="-6"/>
          <w:sz w:val="24"/>
        </w:rPr>
        <w:t> </w:t>
      </w:r>
      <w:r>
        <w:rPr>
          <w:sz w:val="24"/>
        </w:rPr>
        <w:t>lluvia,</w:t>
      </w:r>
      <w:r>
        <w:rPr>
          <w:spacing w:val="-6"/>
          <w:sz w:val="24"/>
        </w:rPr>
        <w:t> </w:t>
      </w:r>
      <w:r>
        <w:rPr>
          <w:sz w:val="24"/>
        </w:rPr>
        <w:t>en</w:t>
      </w:r>
      <w:r>
        <w:rPr>
          <w:spacing w:val="-5"/>
          <w:sz w:val="24"/>
        </w:rPr>
        <w:t> </w:t>
      </w:r>
      <w:r>
        <w:rPr>
          <w:sz w:val="24"/>
        </w:rPr>
        <w:t>torno</w:t>
      </w:r>
      <w:r>
        <w:rPr>
          <w:spacing w:val="-4"/>
          <w:sz w:val="24"/>
        </w:rPr>
        <w:t> </w:t>
      </w:r>
      <w:r>
        <w:rPr>
          <w:sz w:val="24"/>
        </w:rPr>
        <w:t>a</w:t>
      </w:r>
      <w:r>
        <w:rPr>
          <w:spacing w:val="-6"/>
          <w:sz w:val="24"/>
        </w:rPr>
        <w:t> </w:t>
      </w:r>
      <w:r>
        <w:rPr>
          <w:sz w:val="24"/>
        </w:rPr>
        <w:t>los</w:t>
      </w:r>
      <w:r>
        <w:rPr>
          <w:spacing w:val="-2"/>
          <w:sz w:val="24"/>
        </w:rPr>
        <w:t> </w:t>
      </w:r>
      <w:r>
        <w:rPr>
          <w:sz w:val="24"/>
        </w:rPr>
        <w:t>dos</w:t>
      </w:r>
      <w:r>
        <w:rPr>
          <w:spacing w:val="-5"/>
          <w:sz w:val="24"/>
        </w:rPr>
        <w:t> </w:t>
      </w:r>
      <w:r>
        <w:rPr>
          <w:sz w:val="24"/>
        </w:rPr>
        <w:t>patios</w:t>
      </w:r>
      <w:r>
        <w:rPr>
          <w:spacing w:val="-5"/>
          <w:sz w:val="24"/>
        </w:rPr>
        <w:t> </w:t>
      </w:r>
      <w:r>
        <w:rPr>
          <w:sz w:val="24"/>
        </w:rPr>
        <w:t>de luz existentes en su interior, al igual que sucedían en los atrium de la antigua roma. sus numerosas estancias y la utilización de la cantería en la estructura de la casa, nos define la</w:t>
      </w:r>
      <w:r>
        <w:rPr>
          <w:spacing w:val="-9"/>
          <w:sz w:val="24"/>
        </w:rPr>
        <w:t> </w:t>
      </w:r>
      <w:r>
        <w:rPr>
          <w:sz w:val="24"/>
        </w:rPr>
        <w:t>desahogada</w:t>
      </w:r>
      <w:r>
        <w:rPr>
          <w:spacing w:val="-6"/>
          <w:sz w:val="24"/>
        </w:rPr>
        <w:t> </w:t>
      </w:r>
      <w:r>
        <w:rPr>
          <w:sz w:val="24"/>
        </w:rPr>
        <w:t>economía</w:t>
      </w:r>
      <w:r>
        <w:rPr>
          <w:spacing w:val="-5"/>
          <w:sz w:val="24"/>
        </w:rPr>
        <w:t> </w:t>
      </w:r>
      <w:r>
        <w:rPr>
          <w:sz w:val="24"/>
        </w:rPr>
        <w:t>de</w:t>
      </w:r>
      <w:r>
        <w:rPr>
          <w:spacing w:val="-9"/>
          <w:sz w:val="24"/>
        </w:rPr>
        <w:t> </w:t>
      </w:r>
      <w:r>
        <w:rPr>
          <w:sz w:val="24"/>
        </w:rPr>
        <w:t>sus</w:t>
      </w:r>
      <w:r>
        <w:rPr>
          <w:spacing w:val="-8"/>
          <w:sz w:val="24"/>
        </w:rPr>
        <w:t> </w:t>
      </w:r>
      <w:r>
        <w:rPr>
          <w:sz w:val="24"/>
        </w:rPr>
        <w:t>dueños,</w:t>
      </w:r>
      <w:r>
        <w:rPr>
          <w:spacing w:val="-7"/>
          <w:sz w:val="24"/>
        </w:rPr>
        <w:t> </w:t>
      </w:r>
      <w:r>
        <w:rPr>
          <w:sz w:val="24"/>
        </w:rPr>
        <w:t>terratenientes</w:t>
      </w:r>
      <w:r>
        <w:rPr>
          <w:spacing w:val="-9"/>
          <w:sz w:val="24"/>
        </w:rPr>
        <w:t> </w:t>
      </w:r>
      <w:r>
        <w:rPr>
          <w:sz w:val="24"/>
        </w:rPr>
        <w:t>del</w:t>
      </w:r>
      <w:r>
        <w:rPr>
          <w:spacing w:val="-7"/>
          <w:sz w:val="24"/>
        </w:rPr>
        <w:t> </w:t>
      </w:r>
      <w:r>
        <w:rPr>
          <w:sz w:val="24"/>
        </w:rPr>
        <w:t>lugar</w:t>
      </w:r>
      <w:r>
        <w:rPr>
          <w:spacing w:val="-7"/>
          <w:sz w:val="24"/>
        </w:rPr>
        <w:t> </w:t>
      </w:r>
      <w:r>
        <w:rPr>
          <w:sz w:val="24"/>
        </w:rPr>
        <w:t>con</w:t>
      </w:r>
      <w:r>
        <w:rPr>
          <w:spacing w:val="-8"/>
          <w:sz w:val="24"/>
        </w:rPr>
        <w:t> </w:t>
      </w:r>
      <w:r>
        <w:rPr>
          <w:sz w:val="24"/>
        </w:rPr>
        <w:t>grandes</w:t>
      </w:r>
      <w:r>
        <w:rPr>
          <w:spacing w:val="-9"/>
          <w:sz w:val="24"/>
        </w:rPr>
        <w:t> </w:t>
      </w:r>
      <w:r>
        <w:rPr>
          <w:sz w:val="24"/>
        </w:rPr>
        <w:t>fanegadas</w:t>
      </w:r>
      <w:r>
        <w:rPr>
          <w:spacing w:val="-5"/>
          <w:sz w:val="24"/>
        </w:rPr>
        <w:t> </w:t>
      </w:r>
      <w:r>
        <w:rPr>
          <w:sz w:val="24"/>
        </w:rPr>
        <w:t>de tierra y poder. dada la anchura de los muros que delimitan cada un de las estancias de la casa, se conserva una temperatura ambiental durante todo el año. su fortaleza y tesón se vio menguada por la inclemencias del tiempo y el abandono, hasta comienzo de su reconstrucción en 1994 labor llevada a cabo gracias al equipo y a las subvenciones otorgadas a las escuelas taller, casas de oficios y talleres de empleo. en la actualidad se encuentra en</w:t>
      </w:r>
      <w:r>
        <w:rPr>
          <w:spacing w:val="-2"/>
          <w:sz w:val="24"/>
        </w:rPr>
        <w:t> </w:t>
      </w:r>
      <w:r>
        <w:rPr>
          <w:sz w:val="24"/>
        </w:rPr>
        <w:t>activo.</w:t>
      </w:r>
    </w:p>
    <w:p>
      <w:pPr>
        <w:pStyle w:val="BodyText"/>
        <w:spacing w:before="8"/>
        <w:rPr>
          <w:sz w:val="25"/>
        </w:rPr>
      </w:pPr>
    </w:p>
    <w:p>
      <w:pPr>
        <w:pStyle w:val="ListParagraph"/>
        <w:numPr>
          <w:ilvl w:val="0"/>
          <w:numId w:val="1"/>
        </w:numPr>
        <w:tabs>
          <w:tab w:pos="556" w:val="left" w:leader="none"/>
        </w:tabs>
        <w:spacing w:line="259" w:lineRule="auto" w:before="0" w:after="0"/>
        <w:ind w:left="402" w:right="255" w:firstLine="0"/>
        <w:jc w:val="both"/>
        <w:rPr>
          <w:sz w:val="24"/>
        </w:rPr>
      </w:pPr>
      <w:r>
        <w:rPr>
          <w:sz w:val="24"/>
        </w:rPr>
        <w:t>Centro Cívico el Fondeadero (Puerto del Carmen), el Centro Cívico el Fondeadero es un edificio ubicado en el varadero de la tiñosa, salón de actos el fondeadero, salón de actos o de usos múltiples, dimensiones: 21,90*11,10m, escenario: no, accesos: 3, equipamiento: tarima, aire acondicionado, mesa de tres módulos en semicírculo, aforo: 150 butacas, observaciones: actos culturales, reuniones y</w:t>
      </w:r>
      <w:r>
        <w:rPr>
          <w:spacing w:val="-3"/>
          <w:sz w:val="24"/>
        </w:rPr>
        <w:t> </w:t>
      </w:r>
      <w:r>
        <w:rPr>
          <w:sz w:val="24"/>
        </w:rPr>
        <w:t>conferencias.</w:t>
      </w:r>
    </w:p>
    <w:p>
      <w:pPr>
        <w:pStyle w:val="BodyText"/>
        <w:spacing w:before="11"/>
        <w:rPr>
          <w:sz w:val="25"/>
        </w:rPr>
      </w:pPr>
    </w:p>
    <w:p>
      <w:pPr>
        <w:pStyle w:val="ListParagraph"/>
        <w:numPr>
          <w:ilvl w:val="0"/>
          <w:numId w:val="1"/>
        </w:numPr>
        <w:tabs>
          <w:tab w:pos="544" w:val="left" w:leader="none"/>
        </w:tabs>
        <w:spacing w:line="259" w:lineRule="auto" w:before="0" w:after="0"/>
        <w:ind w:left="402" w:right="258" w:firstLine="0"/>
        <w:jc w:val="both"/>
        <w:rPr>
          <w:sz w:val="24"/>
        </w:rPr>
      </w:pPr>
      <w:r>
        <w:rPr>
          <w:sz w:val="24"/>
        </w:rPr>
        <w:t>Casa Seño justo (camino la candelaria nº1 Tías) , salón de usos múltiples: dimensiones 9,97*4,20 m, accesos: 2, equipamiento: no, Aforo : 30 personas, observaciones: actos culturales y reuniones. Patio dimensiones 11,20*11,58m, accesos: 2, equipamiento: cafetería. aforo: 60 personas, observaciones: actos culturales y reuniones.</w:t>
      </w:r>
    </w:p>
    <w:p>
      <w:pPr>
        <w:pStyle w:val="BodyText"/>
        <w:spacing w:before="8"/>
        <w:rPr>
          <w:sz w:val="25"/>
        </w:rPr>
      </w:pPr>
    </w:p>
    <w:p>
      <w:pPr>
        <w:pStyle w:val="ListParagraph"/>
        <w:numPr>
          <w:ilvl w:val="0"/>
          <w:numId w:val="1"/>
        </w:numPr>
        <w:tabs>
          <w:tab w:pos="597" w:val="left" w:leader="none"/>
        </w:tabs>
        <w:spacing w:line="259" w:lineRule="auto" w:before="0" w:after="0"/>
        <w:ind w:left="402" w:right="255" w:firstLine="0"/>
        <w:jc w:val="both"/>
        <w:rPr>
          <w:sz w:val="24"/>
        </w:rPr>
      </w:pPr>
      <w:r>
        <w:rPr>
          <w:sz w:val="24"/>
        </w:rPr>
        <w:t>Centros socioculturales: Centro Sociocultural de Masdache (aforo: 150 personas), Centro</w:t>
      </w:r>
      <w:r>
        <w:rPr>
          <w:spacing w:val="-15"/>
          <w:sz w:val="24"/>
        </w:rPr>
        <w:t> </w:t>
      </w:r>
      <w:r>
        <w:rPr>
          <w:sz w:val="24"/>
        </w:rPr>
        <w:t>Sociocultural</w:t>
      </w:r>
      <w:r>
        <w:rPr>
          <w:spacing w:val="-13"/>
          <w:sz w:val="24"/>
        </w:rPr>
        <w:t> </w:t>
      </w:r>
      <w:r>
        <w:rPr>
          <w:sz w:val="24"/>
        </w:rPr>
        <w:t>de</w:t>
      </w:r>
      <w:r>
        <w:rPr>
          <w:spacing w:val="-15"/>
          <w:sz w:val="24"/>
        </w:rPr>
        <w:t> </w:t>
      </w:r>
      <w:r>
        <w:rPr>
          <w:sz w:val="24"/>
        </w:rPr>
        <w:t>la</w:t>
      </w:r>
      <w:r>
        <w:rPr>
          <w:spacing w:val="-14"/>
          <w:sz w:val="24"/>
        </w:rPr>
        <w:t> </w:t>
      </w:r>
      <w:r>
        <w:rPr>
          <w:sz w:val="24"/>
        </w:rPr>
        <w:t>Asomada</w:t>
      </w:r>
      <w:r>
        <w:rPr>
          <w:spacing w:val="-15"/>
          <w:sz w:val="24"/>
        </w:rPr>
        <w:t> </w:t>
      </w:r>
      <w:r>
        <w:rPr>
          <w:sz w:val="24"/>
        </w:rPr>
        <w:t>(aforo:</w:t>
      </w:r>
      <w:r>
        <w:rPr>
          <w:spacing w:val="-14"/>
          <w:sz w:val="24"/>
        </w:rPr>
        <w:t> </w:t>
      </w:r>
      <w:r>
        <w:rPr>
          <w:sz w:val="24"/>
        </w:rPr>
        <w:t>200</w:t>
      </w:r>
      <w:r>
        <w:rPr>
          <w:spacing w:val="-14"/>
          <w:sz w:val="24"/>
        </w:rPr>
        <w:t> </w:t>
      </w:r>
      <w:r>
        <w:rPr>
          <w:sz w:val="24"/>
        </w:rPr>
        <w:t>personas),</w:t>
      </w:r>
      <w:r>
        <w:rPr>
          <w:spacing w:val="-14"/>
          <w:sz w:val="24"/>
        </w:rPr>
        <w:t> </w:t>
      </w:r>
      <w:r>
        <w:rPr>
          <w:sz w:val="24"/>
        </w:rPr>
        <w:t>Centro</w:t>
      </w:r>
      <w:r>
        <w:rPr>
          <w:spacing w:val="-15"/>
          <w:sz w:val="24"/>
        </w:rPr>
        <w:t> </w:t>
      </w:r>
      <w:r>
        <w:rPr>
          <w:sz w:val="24"/>
        </w:rPr>
        <w:t>Sociocultural</w:t>
      </w:r>
      <w:r>
        <w:rPr>
          <w:spacing w:val="-13"/>
          <w:sz w:val="24"/>
        </w:rPr>
        <w:t> </w:t>
      </w:r>
      <w:r>
        <w:rPr>
          <w:sz w:val="24"/>
        </w:rPr>
        <w:t>de</w:t>
      </w:r>
      <w:r>
        <w:rPr>
          <w:spacing w:val="-15"/>
          <w:sz w:val="24"/>
        </w:rPr>
        <w:t> </w:t>
      </w:r>
      <w:r>
        <w:rPr>
          <w:sz w:val="24"/>
        </w:rPr>
        <w:t>Conil, Centro Sociocultural de Guardilama de Mácher (aforo: 400 personas), Centro Sociocultural La Tiñosa de Puerto del Carmen (aforo: 40 personas) Centro Sociocultural los Lirios</w:t>
      </w:r>
    </w:p>
    <w:p>
      <w:pPr>
        <w:pStyle w:val="BodyText"/>
        <w:spacing w:before="10"/>
        <w:rPr>
          <w:sz w:val="25"/>
        </w:rPr>
      </w:pPr>
    </w:p>
    <w:p>
      <w:pPr>
        <w:pStyle w:val="ListParagraph"/>
        <w:numPr>
          <w:ilvl w:val="0"/>
          <w:numId w:val="1"/>
        </w:numPr>
        <w:tabs>
          <w:tab w:pos="542" w:val="left" w:leader="none"/>
        </w:tabs>
        <w:spacing w:line="240" w:lineRule="auto" w:before="0" w:after="0"/>
        <w:ind w:left="541" w:right="0" w:hanging="140"/>
        <w:jc w:val="both"/>
        <w:rPr>
          <w:sz w:val="24"/>
        </w:rPr>
      </w:pPr>
      <w:r>
        <w:rPr>
          <w:sz w:val="24"/>
        </w:rPr>
        <w:t>Bibliotecas: Biblioteca Municipal de Tías, Biblioteca Municipal de Puerto del</w:t>
      </w:r>
      <w:r>
        <w:rPr>
          <w:spacing w:val="-11"/>
          <w:sz w:val="24"/>
        </w:rPr>
        <w:t> </w:t>
      </w:r>
      <w:r>
        <w:rPr>
          <w:sz w:val="24"/>
        </w:rPr>
        <w:t>Carmen</w:t>
      </w:r>
    </w:p>
    <w:p>
      <w:pPr>
        <w:pStyle w:val="BodyText"/>
        <w:spacing w:before="9"/>
        <w:rPr>
          <w:sz w:val="27"/>
        </w:rPr>
      </w:pPr>
    </w:p>
    <w:p>
      <w:pPr>
        <w:spacing w:before="1"/>
        <w:ind w:left="402" w:right="0" w:firstLine="0"/>
        <w:jc w:val="both"/>
        <w:rPr>
          <w:i/>
          <w:sz w:val="24"/>
        </w:rPr>
      </w:pPr>
      <w:r>
        <w:rPr>
          <w:i/>
          <w:sz w:val="24"/>
        </w:rPr>
        <w:t>(Fuente, página web municipal: </w:t>
      </w:r>
      <w:hyperlink r:id="rId7">
        <w:r>
          <w:rPr>
            <w:i/>
            <w:color w:val="0462C1"/>
            <w:sz w:val="24"/>
            <w:u w:val="single" w:color="0462C1"/>
          </w:rPr>
          <w:t>https://www.ayuntamientodetias.es/</w:t>
        </w:r>
      </w:hyperlink>
      <w:r>
        <w:rPr>
          <w:i/>
          <w:sz w:val="24"/>
        </w:rPr>
        <w:t>)</w:t>
      </w:r>
    </w:p>
    <w:p>
      <w:pPr>
        <w:spacing w:after="0"/>
        <w:jc w:val="both"/>
        <w:rPr>
          <w:sz w:val="24"/>
        </w:rPr>
        <w:sectPr>
          <w:pgSz w:w="11910" w:h="16840"/>
          <w:pgMar w:header="1217" w:footer="0" w:top="2740" w:bottom="280" w:left="1300" w:right="1440"/>
        </w:sectPr>
      </w:pPr>
    </w:p>
    <w:p>
      <w:pPr>
        <w:pStyle w:val="BodyText"/>
        <w:rPr>
          <w:i/>
          <w:sz w:val="20"/>
        </w:rPr>
      </w:pPr>
    </w:p>
    <w:p>
      <w:pPr>
        <w:pStyle w:val="BodyText"/>
        <w:spacing w:before="7"/>
        <w:rPr>
          <w:i/>
          <w:sz w:val="19"/>
        </w:rPr>
      </w:pPr>
    </w:p>
    <w:p>
      <w:pPr>
        <w:pStyle w:val="Heading1"/>
        <w:spacing w:line="259" w:lineRule="auto"/>
        <w:rPr>
          <w:u w:val="none"/>
        </w:rPr>
      </w:pPr>
      <w:r>
        <w:rPr>
          <w:u w:val="thick"/>
        </w:rPr>
        <w:t>SEGUNDA PARTE ORGANIZACIÓN Y ACTIVIDADES</w:t>
      </w:r>
      <w:r>
        <w:rPr>
          <w:u w:val="none"/>
        </w:rPr>
        <w:t> </w:t>
      </w:r>
      <w:r>
        <w:rPr>
          <w:u w:val="thick"/>
        </w:rPr>
        <w:t>GENERALES DEL AYUNTAMIENTO.</w:t>
      </w:r>
    </w:p>
    <w:p>
      <w:pPr>
        <w:pStyle w:val="BodyText"/>
        <w:rPr>
          <w:b/>
          <w:sz w:val="20"/>
        </w:rPr>
      </w:pPr>
    </w:p>
    <w:p>
      <w:pPr>
        <w:pStyle w:val="BodyText"/>
        <w:spacing w:before="10"/>
        <w:rPr>
          <w:b/>
          <w:sz w:val="25"/>
        </w:rPr>
      </w:pPr>
    </w:p>
    <w:p>
      <w:pPr>
        <w:pStyle w:val="Heading4"/>
      </w:pPr>
      <w:r>
        <w:rPr/>
        <w:t>1. - LA CORPORACIÓN MUNICIPAL.</w:t>
      </w:r>
    </w:p>
    <w:p>
      <w:pPr>
        <w:pStyle w:val="BodyText"/>
        <w:spacing w:before="8"/>
        <w:rPr>
          <w:b/>
          <w:sz w:val="27"/>
        </w:rPr>
      </w:pPr>
    </w:p>
    <w:p>
      <w:pPr>
        <w:pStyle w:val="BodyText"/>
        <w:ind w:left="402"/>
      </w:pPr>
      <w:r>
        <w:rPr/>
        <w:t>1a) La Corporación Municipal está integrada por: 21</w:t>
      </w:r>
      <w:r>
        <w:rPr>
          <w:spacing w:val="-9"/>
        </w:rPr>
        <w:t> </w:t>
      </w:r>
      <w:r>
        <w:rPr/>
        <w:t>concejales</w:t>
      </w:r>
    </w:p>
    <w:p>
      <w:pPr>
        <w:pStyle w:val="BodyText"/>
        <w:spacing w:before="1"/>
        <w:rPr>
          <w:sz w:val="28"/>
        </w:rPr>
      </w:pPr>
    </w:p>
    <w:p>
      <w:pPr>
        <w:pStyle w:val="BodyText"/>
        <w:spacing w:line="518" w:lineRule="auto"/>
        <w:ind w:left="402" w:right="1956"/>
      </w:pPr>
      <w:r>
        <w:rPr/>
        <w:t>(No ha habido altas ni bajas durante el año de miembros Corporativos) 1b) La Junta de Gobierno Local esta integrada por: 6</w:t>
      </w:r>
      <w:r>
        <w:rPr>
          <w:spacing w:val="-8"/>
        </w:rPr>
        <w:t> </w:t>
      </w:r>
      <w:r>
        <w:rPr/>
        <w:t>miembros.</w:t>
      </w:r>
    </w:p>
    <w:p>
      <w:pPr>
        <w:pStyle w:val="BodyText"/>
        <w:spacing w:line="274" w:lineRule="exact"/>
        <w:ind w:left="402"/>
      </w:pPr>
      <w:r>
        <w:rPr/>
        <w:t>1c) Las Comisiones Informativas son:</w:t>
      </w:r>
    </w:p>
    <w:p>
      <w:pPr>
        <w:pStyle w:val="BodyText"/>
        <w:spacing w:line="259" w:lineRule="auto" w:before="21"/>
        <w:ind w:left="402" w:right="1916"/>
      </w:pPr>
      <w:r>
        <w:rPr/>
        <w:t>Comisión Informativa de Economía y Hacienda, y Especial de cuentas. Comisión Informativa de Urbanismo, y Patrimonio.</w:t>
      </w:r>
    </w:p>
    <w:p>
      <w:pPr>
        <w:pStyle w:val="BodyText"/>
        <w:spacing w:line="259" w:lineRule="auto"/>
        <w:ind w:left="402" w:right="2589"/>
      </w:pPr>
      <w:r>
        <w:rPr/>
        <w:t>Comisión Informativa de Régimen General, y Contratación. Comisión Informativa de Turismo, y Relaciones Institucionales.</w:t>
      </w:r>
    </w:p>
    <w:p>
      <w:pPr>
        <w:pStyle w:val="BodyText"/>
        <w:spacing w:line="259" w:lineRule="auto"/>
        <w:ind w:left="402"/>
      </w:pPr>
      <w:r>
        <w:rPr/>
        <w:t>Comisión Informativa de Servicios Sociales, y Fomento de actividades de interés municipal.</w:t>
      </w:r>
    </w:p>
    <w:p>
      <w:pPr>
        <w:pStyle w:val="BodyText"/>
        <w:spacing w:line="596" w:lineRule="exact" w:before="45"/>
        <w:ind w:left="402" w:right="3449"/>
      </w:pPr>
      <w:r>
        <w:rPr/>
        <w:t>Compuestas cada una por siete miembros corporativos. 1d) Número de sesiones:</w:t>
      </w:r>
    </w:p>
    <w:p>
      <w:pPr>
        <w:pStyle w:val="ListParagraph"/>
        <w:numPr>
          <w:ilvl w:val="0"/>
          <w:numId w:val="1"/>
        </w:numPr>
        <w:tabs>
          <w:tab w:pos="542" w:val="left" w:leader="none"/>
        </w:tabs>
        <w:spacing w:line="230" w:lineRule="exact" w:before="0" w:after="0"/>
        <w:ind w:left="541" w:right="0" w:hanging="140"/>
        <w:jc w:val="left"/>
        <w:rPr>
          <w:sz w:val="24"/>
        </w:rPr>
      </w:pPr>
      <w:r>
        <w:rPr>
          <w:sz w:val="24"/>
        </w:rPr>
        <w:t>Pleno: 13</w:t>
      </w:r>
      <w:r>
        <w:rPr>
          <w:spacing w:val="-1"/>
          <w:sz w:val="24"/>
        </w:rPr>
        <w:t> </w:t>
      </w:r>
      <w:r>
        <w:rPr>
          <w:sz w:val="24"/>
        </w:rPr>
        <w:t>sesiones</w:t>
      </w:r>
    </w:p>
    <w:p>
      <w:pPr>
        <w:pStyle w:val="ListParagraph"/>
        <w:numPr>
          <w:ilvl w:val="0"/>
          <w:numId w:val="1"/>
        </w:numPr>
        <w:tabs>
          <w:tab w:pos="542" w:val="left" w:leader="none"/>
        </w:tabs>
        <w:spacing w:line="240" w:lineRule="auto" w:before="22" w:after="0"/>
        <w:ind w:left="541" w:right="0" w:hanging="140"/>
        <w:jc w:val="left"/>
        <w:rPr>
          <w:sz w:val="24"/>
        </w:rPr>
      </w:pPr>
      <w:r>
        <w:rPr>
          <w:sz w:val="24"/>
        </w:rPr>
        <w:t>Junta de Gobierno Local: 2</w:t>
      </w:r>
      <w:r>
        <w:rPr>
          <w:spacing w:val="-2"/>
          <w:sz w:val="24"/>
        </w:rPr>
        <w:t> </w:t>
      </w:r>
      <w:r>
        <w:rPr>
          <w:sz w:val="24"/>
        </w:rPr>
        <w:t>sesiones.</w:t>
      </w:r>
    </w:p>
    <w:p>
      <w:pPr>
        <w:pStyle w:val="ListParagraph"/>
        <w:numPr>
          <w:ilvl w:val="0"/>
          <w:numId w:val="1"/>
        </w:numPr>
        <w:tabs>
          <w:tab w:pos="542" w:val="left" w:leader="none"/>
        </w:tabs>
        <w:spacing w:line="240" w:lineRule="auto" w:before="22" w:after="0"/>
        <w:ind w:left="541" w:right="0" w:hanging="140"/>
        <w:jc w:val="left"/>
        <w:rPr>
          <w:sz w:val="24"/>
        </w:rPr>
      </w:pPr>
      <w:r>
        <w:rPr>
          <w:sz w:val="24"/>
        </w:rPr>
        <w:t>Comisiones</w:t>
      </w:r>
      <w:r>
        <w:rPr>
          <w:spacing w:val="-2"/>
          <w:sz w:val="24"/>
        </w:rPr>
        <w:t> </w:t>
      </w:r>
      <w:r>
        <w:rPr>
          <w:sz w:val="24"/>
        </w:rPr>
        <w:t>Informativas:</w:t>
      </w:r>
    </w:p>
    <w:p>
      <w:pPr>
        <w:pStyle w:val="BodyText"/>
        <w:spacing w:line="259" w:lineRule="auto" w:before="21"/>
        <w:ind w:left="402" w:right="810"/>
      </w:pPr>
      <w:r>
        <w:rPr/>
        <w:t>Comisión Informativa de Economía y Hacienda, y Especial de cuentas: 9 sesiones. Comisión Informativa de Urbanismo, y Patrimonio: 4 sesiones.</w:t>
      </w:r>
    </w:p>
    <w:p>
      <w:pPr>
        <w:pStyle w:val="BodyText"/>
        <w:spacing w:line="261" w:lineRule="auto"/>
        <w:ind w:left="402" w:right="1482"/>
      </w:pPr>
      <w:r>
        <w:rPr/>
        <w:t>Comisión Informativa de Régimen General, y Contratación: 10 sesiones. Comisión Informativa de Turismo, y Relaciones Institucionales: 8 sesiones.</w:t>
      </w:r>
    </w:p>
    <w:p>
      <w:pPr>
        <w:pStyle w:val="BodyText"/>
        <w:spacing w:line="259" w:lineRule="auto"/>
        <w:ind w:left="402"/>
      </w:pPr>
      <w:r>
        <w:rPr/>
        <w:t>Comisión Informativa de Servicios Sociales, y Fomento de actividades de interés municipal: 1 sesión.</w:t>
      </w:r>
    </w:p>
    <w:p>
      <w:pPr>
        <w:spacing w:after="0" w:line="259" w:lineRule="auto"/>
        <w:sectPr>
          <w:pgSz w:w="11910" w:h="16840"/>
          <w:pgMar w:header="1217" w:footer="0" w:top="2740" w:bottom="280" w:left="1300" w:right="1440"/>
        </w:sectPr>
      </w:pPr>
    </w:p>
    <w:p>
      <w:pPr>
        <w:pStyle w:val="BodyText"/>
        <w:rPr>
          <w:sz w:val="20"/>
        </w:rPr>
      </w:pPr>
    </w:p>
    <w:p>
      <w:pPr>
        <w:pStyle w:val="BodyText"/>
        <w:spacing w:before="3"/>
        <w:rPr>
          <w:sz w:val="19"/>
        </w:rPr>
      </w:pPr>
    </w:p>
    <w:p>
      <w:pPr>
        <w:pStyle w:val="Heading4"/>
      </w:pPr>
      <w:r>
        <w:rPr/>
        <w:t>2.- ACTIVIDAD CORPORATIVA:</w:t>
      </w:r>
    </w:p>
    <w:p>
      <w:pPr>
        <w:pStyle w:val="BodyText"/>
        <w:spacing w:before="8"/>
        <w:rPr>
          <w:b/>
          <w:sz w:val="27"/>
        </w:rPr>
      </w:pPr>
    </w:p>
    <w:p>
      <w:pPr>
        <w:pStyle w:val="ListParagraph"/>
        <w:numPr>
          <w:ilvl w:val="0"/>
          <w:numId w:val="2"/>
        </w:numPr>
        <w:tabs>
          <w:tab w:pos="669" w:val="left" w:leader="none"/>
        </w:tabs>
        <w:spacing w:line="259" w:lineRule="auto" w:before="1" w:after="0"/>
        <w:ind w:left="402" w:right="265" w:firstLine="0"/>
        <w:jc w:val="left"/>
        <w:rPr>
          <w:sz w:val="24"/>
        </w:rPr>
      </w:pPr>
      <w:r>
        <w:rPr>
          <w:sz w:val="24"/>
        </w:rPr>
        <w:t>Número de Actos religiosos celebrados en el municipio con asistencia oficial de la corporación:</w:t>
      </w:r>
    </w:p>
    <w:p>
      <w:pPr>
        <w:pStyle w:val="ListParagraph"/>
        <w:numPr>
          <w:ilvl w:val="0"/>
          <w:numId w:val="1"/>
        </w:numPr>
        <w:tabs>
          <w:tab w:pos="566" w:val="left" w:leader="none"/>
        </w:tabs>
        <w:spacing w:line="259" w:lineRule="auto" w:before="0" w:after="0"/>
        <w:ind w:left="402" w:right="265" w:firstLine="0"/>
        <w:jc w:val="left"/>
        <w:rPr>
          <w:sz w:val="24"/>
        </w:rPr>
      </w:pPr>
      <w:r>
        <w:rPr>
          <w:sz w:val="24"/>
        </w:rPr>
        <w:t>Tías: 6 (La Candelaria, San Blas, Domingo de Ramos, Vía Crucis, Corpus Christi y Navidad)</w:t>
      </w:r>
    </w:p>
    <w:p>
      <w:pPr>
        <w:pStyle w:val="ListParagraph"/>
        <w:numPr>
          <w:ilvl w:val="0"/>
          <w:numId w:val="1"/>
        </w:numPr>
        <w:tabs>
          <w:tab w:pos="571" w:val="left" w:leader="none"/>
        </w:tabs>
        <w:spacing w:line="259" w:lineRule="auto" w:before="0" w:after="0"/>
        <w:ind w:left="402" w:right="264" w:firstLine="0"/>
        <w:jc w:val="left"/>
        <w:rPr>
          <w:sz w:val="24"/>
        </w:rPr>
      </w:pPr>
      <w:r>
        <w:rPr>
          <w:sz w:val="24"/>
        </w:rPr>
        <w:t>Puerto del Carmen: 4 (San Patricio, Vía Crucis Ecuménico, Procesión Marítima del Carmen, Función y procesión por tierra del</w:t>
      </w:r>
      <w:r>
        <w:rPr>
          <w:spacing w:val="-4"/>
          <w:sz w:val="24"/>
        </w:rPr>
        <w:t> </w:t>
      </w:r>
      <w:r>
        <w:rPr>
          <w:sz w:val="24"/>
        </w:rPr>
        <w:t>Carmen)</w:t>
      </w:r>
    </w:p>
    <w:p>
      <w:pPr>
        <w:pStyle w:val="ListParagraph"/>
        <w:numPr>
          <w:ilvl w:val="0"/>
          <w:numId w:val="1"/>
        </w:numPr>
        <w:tabs>
          <w:tab w:pos="542" w:val="left" w:leader="none"/>
        </w:tabs>
        <w:spacing w:line="240" w:lineRule="auto" w:before="0" w:after="0"/>
        <w:ind w:left="541" w:right="0" w:hanging="140"/>
        <w:jc w:val="left"/>
        <w:rPr>
          <w:sz w:val="24"/>
        </w:rPr>
      </w:pPr>
      <w:r>
        <w:rPr>
          <w:sz w:val="24"/>
        </w:rPr>
        <w:t>Resto de pueblos: 4 (Conil, Masdache, Mácher y La</w:t>
      </w:r>
      <w:r>
        <w:rPr>
          <w:spacing w:val="-6"/>
          <w:sz w:val="24"/>
        </w:rPr>
        <w:t> </w:t>
      </w:r>
      <w:r>
        <w:rPr>
          <w:sz w:val="24"/>
        </w:rPr>
        <w:t>Asomada)</w:t>
      </w:r>
    </w:p>
    <w:p>
      <w:pPr>
        <w:pStyle w:val="BodyText"/>
        <w:spacing w:line="259" w:lineRule="auto" w:before="21"/>
        <w:ind w:left="402"/>
      </w:pPr>
      <w:r>
        <w:rPr/>
        <w:t>Un total de 14 celebraciones religiosas donde asiste oficialmente el alcalde y parte de la corporación.</w:t>
      </w:r>
    </w:p>
    <w:p>
      <w:pPr>
        <w:pStyle w:val="BodyText"/>
        <w:spacing w:before="9"/>
        <w:rPr>
          <w:sz w:val="25"/>
        </w:rPr>
      </w:pPr>
    </w:p>
    <w:p>
      <w:pPr>
        <w:pStyle w:val="ListParagraph"/>
        <w:numPr>
          <w:ilvl w:val="0"/>
          <w:numId w:val="2"/>
        </w:numPr>
        <w:tabs>
          <w:tab w:pos="640" w:val="left" w:leader="none"/>
        </w:tabs>
        <w:spacing w:line="259" w:lineRule="auto" w:before="1" w:after="0"/>
        <w:ind w:left="402" w:right="264" w:firstLine="0"/>
        <w:jc w:val="both"/>
        <w:rPr>
          <w:sz w:val="24"/>
        </w:rPr>
      </w:pPr>
      <w:r>
        <w:rPr>
          <w:sz w:val="24"/>
        </w:rPr>
        <w:t>Número</w:t>
      </w:r>
      <w:r>
        <w:rPr>
          <w:spacing w:val="-6"/>
          <w:sz w:val="24"/>
        </w:rPr>
        <w:t> </w:t>
      </w:r>
      <w:r>
        <w:rPr>
          <w:sz w:val="24"/>
        </w:rPr>
        <w:t>de</w:t>
      </w:r>
      <w:r>
        <w:rPr>
          <w:spacing w:val="-6"/>
          <w:sz w:val="24"/>
        </w:rPr>
        <w:t> </w:t>
      </w:r>
      <w:r>
        <w:rPr>
          <w:sz w:val="24"/>
        </w:rPr>
        <w:t>Actos</w:t>
      </w:r>
      <w:r>
        <w:rPr>
          <w:spacing w:val="-4"/>
          <w:sz w:val="24"/>
        </w:rPr>
        <w:t> </w:t>
      </w:r>
      <w:r>
        <w:rPr>
          <w:sz w:val="24"/>
        </w:rPr>
        <w:t>públicos</w:t>
      </w:r>
      <w:r>
        <w:rPr>
          <w:spacing w:val="-5"/>
          <w:sz w:val="24"/>
        </w:rPr>
        <w:t> </w:t>
      </w:r>
      <w:r>
        <w:rPr>
          <w:sz w:val="24"/>
        </w:rPr>
        <w:t>realizados</w:t>
      </w:r>
      <w:r>
        <w:rPr>
          <w:spacing w:val="-5"/>
          <w:sz w:val="24"/>
        </w:rPr>
        <w:t> </w:t>
      </w:r>
      <w:r>
        <w:rPr>
          <w:sz w:val="24"/>
        </w:rPr>
        <w:t>en</w:t>
      </w:r>
      <w:r>
        <w:rPr>
          <w:spacing w:val="-3"/>
          <w:sz w:val="24"/>
        </w:rPr>
        <w:t> </w:t>
      </w:r>
      <w:r>
        <w:rPr>
          <w:sz w:val="24"/>
        </w:rPr>
        <w:t>el</w:t>
      </w:r>
      <w:r>
        <w:rPr>
          <w:spacing w:val="-4"/>
          <w:sz w:val="24"/>
        </w:rPr>
        <w:t> </w:t>
      </w:r>
      <w:r>
        <w:rPr>
          <w:sz w:val="24"/>
        </w:rPr>
        <w:t>propio</w:t>
      </w:r>
      <w:r>
        <w:rPr>
          <w:spacing w:val="-4"/>
          <w:sz w:val="24"/>
        </w:rPr>
        <w:t> </w:t>
      </w:r>
      <w:r>
        <w:rPr>
          <w:sz w:val="24"/>
        </w:rPr>
        <w:t>Ayuntamiento</w:t>
      </w:r>
      <w:r>
        <w:rPr>
          <w:spacing w:val="-4"/>
          <w:sz w:val="24"/>
        </w:rPr>
        <w:t> </w:t>
      </w:r>
      <w:r>
        <w:rPr>
          <w:sz w:val="24"/>
        </w:rPr>
        <w:t>o</w:t>
      </w:r>
      <w:r>
        <w:rPr>
          <w:spacing w:val="-4"/>
          <w:sz w:val="24"/>
        </w:rPr>
        <w:t> </w:t>
      </w:r>
      <w:r>
        <w:rPr>
          <w:sz w:val="24"/>
        </w:rPr>
        <w:t>un</w:t>
      </w:r>
      <w:r>
        <w:rPr>
          <w:spacing w:val="-2"/>
          <w:sz w:val="24"/>
        </w:rPr>
        <w:t> </w:t>
      </w:r>
      <w:r>
        <w:rPr>
          <w:sz w:val="24"/>
        </w:rPr>
        <w:t>establecimiento de empresas dependientes del</w:t>
      </w:r>
      <w:r>
        <w:rPr>
          <w:spacing w:val="-4"/>
          <w:sz w:val="24"/>
        </w:rPr>
        <w:t> </w:t>
      </w:r>
      <w:r>
        <w:rPr>
          <w:sz w:val="24"/>
        </w:rPr>
        <w:t>mismo:</w:t>
      </w:r>
    </w:p>
    <w:p>
      <w:pPr>
        <w:pStyle w:val="BodyText"/>
        <w:spacing w:line="259" w:lineRule="auto"/>
        <w:ind w:left="402" w:right="260"/>
        <w:jc w:val="both"/>
      </w:pPr>
      <w:r>
        <w:rPr/>
        <w:t>30 actos (Días de Comunidades/países, Jornadas, otros organizados por el propio Ayuntamiento, etc.)</w:t>
      </w:r>
    </w:p>
    <w:p>
      <w:pPr>
        <w:pStyle w:val="BodyText"/>
        <w:spacing w:line="259" w:lineRule="auto"/>
        <w:ind w:left="402" w:right="254"/>
        <w:jc w:val="both"/>
      </w:pPr>
      <w:r>
        <w:rPr/>
        <w:t>Eventos con motivo del 60º aniversario: - Gala del Turismo y reconocimientos - ZEConscientes Puerto del Carmen 2025 - Día del Pilar Patrona Guardia Civil - Desfile de Moda Sostenible - Detalle felicitación del Ayuntamiento por el 40º aniversario de Relaxia</w:t>
      </w:r>
      <w:r>
        <w:rPr>
          <w:spacing w:val="-14"/>
        </w:rPr>
        <w:t> </w:t>
      </w:r>
      <w:r>
        <w:rPr/>
        <w:t>Lanzaplaya</w:t>
      </w:r>
      <w:r>
        <w:rPr>
          <w:spacing w:val="33"/>
        </w:rPr>
        <w:t> </w:t>
      </w:r>
      <w:r>
        <w:rPr/>
        <w:t>-</w:t>
      </w:r>
      <w:r>
        <w:rPr>
          <w:spacing w:val="-14"/>
        </w:rPr>
        <w:t> </w:t>
      </w:r>
      <w:r>
        <w:rPr/>
        <w:t>Espectáculo</w:t>
      </w:r>
      <w:r>
        <w:rPr>
          <w:spacing w:val="-12"/>
        </w:rPr>
        <w:t> </w:t>
      </w:r>
      <w:r>
        <w:rPr/>
        <w:t>de</w:t>
      </w:r>
      <w:r>
        <w:rPr>
          <w:spacing w:val="-14"/>
        </w:rPr>
        <w:t> </w:t>
      </w:r>
      <w:r>
        <w:rPr/>
        <w:t>Timanfaya</w:t>
      </w:r>
      <w:r>
        <w:rPr>
          <w:spacing w:val="-12"/>
        </w:rPr>
        <w:t> </w:t>
      </w:r>
      <w:r>
        <w:rPr/>
        <w:t>a</w:t>
      </w:r>
      <w:r>
        <w:rPr>
          <w:spacing w:val="-12"/>
        </w:rPr>
        <w:t> </w:t>
      </w:r>
      <w:r>
        <w:rPr/>
        <w:t>Tindaya</w:t>
      </w:r>
      <w:r>
        <w:rPr>
          <w:spacing w:val="35"/>
        </w:rPr>
        <w:t> </w:t>
      </w:r>
      <w:r>
        <w:rPr/>
        <w:t>-</w:t>
      </w:r>
      <w:r>
        <w:rPr>
          <w:spacing w:val="-14"/>
        </w:rPr>
        <w:t> </w:t>
      </w:r>
      <w:r>
        <w:rPr/>
        <w:t>Ciclo</w:t>
      </w:r>
      <w:r>
        <w:rPr>
          <w:spacing w:val="-13"/>
        </w:rPr>
        <w:t> </w:t>
      </w:r>
      <w:r>
        <w:rPr/>
        <w:t>de</w:t>
      </w:r>
      <w:r>
        <w:rPr>
          <w:spacing w:val="-13"/>
        </w:rPr>
        <w:t> </w:t>
      </w:r>
      <w:r>
        <w:rPr/>
        <w:t>micro</w:t>
      </w:r>
      <w:r>
        <w:rPr>
          <w:spacing w:val="-13"/>
        </w:rPr>
        <w:t> </w:t>
      </w:r>
      <w:r>
        <w:rPr/>
        <w:t>conferencias con motivo del 60º aniversario Puerto del</w:t>
      </w:r>
      <w:r>
        <w:rPr>
          <w:spacing w:val="-1"/>
        </w:rPr>
        <w:t> </w:t>
      </w:r>
      <w:r>
        <w:rPr/>
        <w:t>Carmen</w:t>
      </w:r>
    </w:p>
    <w:p>
      <w:pPr>
        <w:pStyle w:val="BodyText"/>
        <w:spacing w:before="8"/>
        <w:rPr>
          <w:sz w:val="25"/>
        </w:rPr>
      </w:pPr>
    </w:p>
    <w:p>
      <w:pPr>
        <w:pStyle w:val="ListParagraph"/>
        <w:numPr>
          <w:ilvl w:val="0"/>
          <w:numId w:val="2"/>
        </w:numPr>
        <w:tabs>
          <w:tab w:pos="643" w:val="left" w:leader="none"/>
        </w:tabs>
        <w:spacing w:line="240" w:lineRule="auto" w:before="0" w:after="0"/>
        <w:ind w:left="642" w:right="0" w:hanging="241"/>
        <w:jc w:val="both"/>
        <w:rPr>
          <w:sz w:val="24"/>
        </w:rPr>
      </w:pPr>
      <w:r>
        <w:rPr>
          <w:sz w:val="24"/>
        </w:rPr>
        <w:t>Número de otros actos públicos que haya asistido oficialmente la</w:t>
      </w:r>
      <w:r>
        <w:rPr>
          <w:spacing w:val="-6"/>
          <w:sz w:val="24"/>
        </w:rPr>
        <w:t> </w:t>
      </w:r>
      <w:r>
        <w:rPr>
          <w:sz w:val="24"/>
        </w:rPr>
        <w:t>corporación:</w:t>
      </w:r>
    </w:p>
    <w:p>
      <w:pPr>
        <w:pStyle w:val="BodyText"/>
        <w:spacing w:line="259" w:lineRule="auto" w:before="22"/>
        <w:ind w:left="402" w:right="257"/>
        <w:jc w:val="both"/>
      </w:pPr>
      <w:r>
        <w:rPr/>
        <w:t>30 actos (Jornadas FEMP, FECAM, otras organizadas por instituciones y organismos oficiales), además de Ferias de Turismo y Asambleas de la AMTC: - FITUR. - Irish Travel Industry Awards Dublin. - Expedición a Dublín. - ITB. - VII Encuentro de Gestores de la RED RDTI - Innovaris Summit 2025. - Promoción de St. Patrick´s Day Puerto del Carmen 2026 en la feria gastronómica y turística Taste of Dublin. (Irlanda) - WTM Londres. - Asambleas de la AMTC - Equipo del proyecto ZEConsciente recoger el</w:t>
      </w:r>
      <w:r>
        <w:rPr>
          <w:spacing w:val="-5"/>
        </w:rPr>
        <w:t> </w:t>
      </w:r>
      <w:r>
        <w:rPr/>
        <w:t>Galardón</w:t>
      </w:r>
      <w:r>
        <w:rPr>
          <w:spacing w:val="-5"/>
        </w:rPr>
        <w:t> </w:t>
      </w:r>
      <w:r>
        <w:rPr/>
        <w:t>de</w:t>
      </w:r>
      <w:r>
        <w:rPr>
          <w:spacing w:val="-7"/>
        </w:rPr>
        <w:t> </w:t>
      </w:r>
      <w:r>
        <w:rPr/>
        <w:t>los</w:t>
      </w:r>
      <w:r>
        <w:rPr>
          <w:spacing w:val="-4"/>
        </w:rPr>
        <w:t> </w:t>
      </w:r>
      <w:r>
        <w:rPr/>
        <w:t>Océanos</w:t>
      </w:r>
      <w:r>
        <w:rPr>
          <w:spacing w:val="-5"/>
        </w:rPr>
        <w:t> </w:t>
      </w:r>
      <w:r>
        <w:rPr/>
        <w:t>otorgado</w:t>
      </w:r>
      <w:r>
        <w:rPr>
          <w:spacing w:val="-6"/>
        </w:rPr>
        <w:t> </w:t>
      </w:r>
      <w:r>
        <w:rPr/>
        <w:t>por</w:t>
      </w:r>
      <w:r>
        <w:rPr>
          <w:spacing w:val="-6"/>
        </w:rPr>
        <w:t> </w:t>
      </w:r>
      <w:r>
        <w:rPr/>
        <w:t>la</w:t>
      </w:r>
      <w:r>
        <w:rPr>
          <w:spacing w:val="-5"/>
        </w:rPr>
        <w:t> </w:t>
      </w:r>
      <w:r>
        <w:rPr/>
        <w:t>Sociedad</w:t>
      </w:r>
      <w:r>
        <w:rPr>
          <w:spacing w:val="-6"/>
        </w:rPr>
        <w:t> </w:t>
      </w:r>
      <w:r>
        <w:rPr/>
        <w:t>Atlántica</w:t>
      </w:r>
      <w:r>
        <w:rPr>
          <w:spacing w:val="-6"/>
        </w:rPr>
        <w:t> </w:t>
      </w:r>
      <w:r>
        <w:rPr/>
        <w:t>de</w:t>
      </w:r>
      <w:r>
        <w:rPr>
          <w:spacing w:val="-6"/>
        </w:rPr>
        <w:t> </w:t>
      </w:r>
      <w:r>
        <w:rPr/>
        <w:t>Oceanógrafos</w:t>
      </w:r>
      <w:r>
        <w:rPr>
          <w:spacing w:val="-6"/>
        </w:rPr>
        <w:t> </w:t>
      </w:r>
      <w:r>
        <w:rPr/>
        <w:t>en</w:t>
      </w:r>
      <w:r>
        <w:rPr>
          <w:spacing w:val="-5"/>
        </w:rPr>
        <w:t> </w:t>
      </w:r>
      <w:r>
        <w:rPr/>
        <w:t>Gran Canaria. - Asistencia del Equipo de Turismo y concejalía de medio ambiente al evento estratégico sobre Sostenibilidad Social en el Turismo, "Canarias Avanza" en Las Palmas de Gran</w:t>
      </w:r>
      <w:r>
        <w:rPr>
          <w:spacing w:val="-2"/>
        </w:rPr>
        <w:t> </w:t>
      </w:r>
      <w:r>
        <w:rPr/>
        <w:t>Canaria</w:t>
      </w:r>
    </w:p>
    <w:p>
      <w:pPr>
        <w:pStyle w:val="BodyText"/>
        <w:spacing w:before="8"/>
        <w:rPr>
          <w:sz w:val="25"/>
        </w:rPr>
      </w:pPr>
    </w:p>
    <w:p>
      <w:pPr>
        <w:pStyle w:val="ListParagraph"/>
        <w:numPr>
          <w:ilvl w:val="0"/>
          <w:numId w:val="2"/>
        </w:numPr>
        <w:tabs>
          <w:tab w:pos="643" w:val="left" w:leader="none"/>
        </w:tabs>
        <w:spacing w:line="240" w:lineRule="auto" w:before="1" w:after="0"/>
        <w:ind w:left="642" w:right="0" w:hanging="241"/>
        <w:jc w:val="both"/>
        <w:rPr>
          <w:sz w:val="24"/>
        </w:rPr>
      </w:pPr>
      <w:r>
        <w:rPr>
          <w:sz w:val="24"/>
        </w:rPr>
        <w:t>Número de Mensajes de protocolo</w:t>
      </w:r>
      <w:r>
        <w:rPr>
          <w:spacing w:val="-2"/>
          <w:sz w:val="24"/>
        </w:rPr>
        <w:t> </w:t>
      </w:r>
      <w:r>
        <w:rPr>
          <w:sz w:val="24"/>
        </w:rPr>
        <w:t>cursado:</w:t>
      </w:r>
    </w:p>
    <w:p>
      <w:pPr>
        <w:pStyle w:val="BodyText"/>
        <w:spacing w:line="259" w:lineRule="auto" w:before="21"/>
        <w:ind w:left="402" w:right="261"/>
        <w:jc w:val="both"/>
      </w:pPr>
      <w:r>
        <w:rPr/>
        <w:t>Aproximadamente</w:t>
      </w:r>
      <w:r>
        <w:rPr>
          <w:spacing w:val="-6"/>
        </w:rPr>
        <w:t> </w:t>
      </w:r>
      <w:r>
        <w:rPr/>
        <w:t>1000</w:t>
      </w:r>
      <w:r>
        <w:rPr>
          <w:spacing w:val="-5"/>
        </w:rPr>
        <w:t> </w:t>
      </w:r>
      <w:r>
        <w:rPr/>
        <w:t>(Saludas,</w:t>
      </w:r>
      <w:r>
        <w:rPr>
          <w:spacing w:val="-7"/>
        </w:rPr>
        <w:t> </w:t>
      </w:r>
      <w:r>
        <w:rPr/>
        <w:t>invitaciones</w:t>
      </w:r>
      <w:r>
        <w:rPr>
          <w:spacing w:val="-6"/>
        </w:rPr>
        <w:t> </w:t>
      </w:r>
      <w:r>
        <w:rPr/>
        <w:t>del</w:t>
      </w:r>
      <w:r>
        <w:rPr>
          <w:spacing w:val="-5"/>
        </w:rPr>
        <w:t> </w:t>
      </w:r>
      <w:r>
        <w:rPr/>
        <w:t>alcalde,</w:t>
      </w:r>
      <w:r>
        <w:rPr>
          <w:spacing w:val="-6"/>
        </w:rPr>
        <w:t> </w:t>
      </w:r>
      <w:r>
        <w:rPr/>
        <w:t>staff</w:t>
      </w:r>
      <w:r>
        <w:rPr>
          <w:spacing w:val="-6"/>
        </w:rPr>
        <w:t> </w:t>
      </w:r>
      <w:r>
        <w:rPr/>
        <w:t>al</w:t>
      </w:r>
      <w:r>
        <w:rPr>
          <w:spacing w:val="-6"/>
        </w:rPr>
        <w:t> </w:t>
      </w:r>
      <w:r>
        <w:rPr/>
        <w:t>personal</w:t>
      </w:r>
      <w:r>
        <w:rPr>
          <w:spacing w:val="-4"/>
        </w:rPr>
        <w:t> </w:t>
      </w:r>
      <w:r>
        <w:rPr/>
        <w:t>para</w:t>
      </w:r>
      <w:r>
        <w:rPr>
          <w:spacing w:val="-9"/>
        </w:rPr>
        <w:t> </w:t>
      </w:r>
      <w:r>
        <w:rPr/>
        <w:t>minutos de silencio, celebración días mundiales e internacionales,</w:t>
      </w:r>
      <w:r>
        <w:rPr>
          <w:spacing w:val="-6"/>
        </w:rPr>
        <w:t> </w:t>
      </w:r>
      <w:r>
        <w:rPr/>
        <w:t>etc.)</w:t>
      </w:r>
    </w:p>
    <w:p>
      <w:pPr>
        <w:spacing w:after="0" w:line="259" w:lineRule="auto"/>
        <w:jc w:val="both"/>
        <w:sectPr>
          <w:pgSz w:w="11910" w:h="16840"/>
          <w:pgMar w:header="1217" w:footer="0" w:top="2740" w:bottom="280" w:left="1300" w:right="1440"/>
        </w:sectPr>
      </w:pPr>
    </w:p>
    <w:p>
      <w:pPr>
        <w:pStyle w:val="BodyText"/>
        <w:rPr>
          <w:sz w:val="20"/>
        </w:rPr>
      </w:pPr>
    </w:p>
    <w:p>
      <w:pPr>
        <w:pStyle w:val="BodyText"/>
        <w:spacing w:before="3"/>
        <w:rPr>
          <w:sz w:val="19"/>
        </w:rPr>
      </w:pPr>
    </w:p>
    <w:p>
      <w:pPr>
        <w:pStyle w:val="Heading4"/>
      </w:pPr>
      <w:r>
        <w:rPr/>
        <w:t>3.-</w:t>
      </w:r>
      <w:r>
        <w:rPr>
          <w:spacing w:val="59"/>
        </w:rPr>
        <w:t> </w:t>
      </w:r>
      <w:r>
        <w:rPr/>
        <w:t>PERSONAL.</w:t>
      </w:r>
    </w:p>
    <w:p>
      <w:pPr>
        <w:pStyle w:val="BodyText"/>
        <w:rPr>
          <w:b/>
          <w:sz w:val="26"/>
        </w:rPr>
      </w:pPr>
    </w:p>
    <w:p>
      <w:pPr>
        <w:pStyle w:val="BodyText"/>
        <w:spacing w:before="6"/>
        <w:rPr>
          <w:b/>
          <w:sz w:val="29"/>
        </w:rPr>
      </w:pPr>
    </w:p>
    <w:p>
      <w:pPr>
        <w:pStyle w:val="BodyText"/>
        <w:ind w:left="402"/>
      </w:pPr>
      <w:r>
        <w:rPr/>
        <w:t>PLANTILLA DEL PERSONAL DEL AYUNTAMIENTO DE TÍAS 2025</w:t>
      </w:r>
    </w:p>
    <w:p>
      <w:pPr>
        <w:pStyle w:val="BodyText"/>
        <w:spacing w:before="6"/>
        <w:rPr>
          <w:sz w:val="25"/>
        </w:rPr>
      </w:pPr>
      <w:r>
        <w:rPr/>
        <w:drawing>
          <wp:anchor distT="0" distB="0" distL="0" distR="0" allowOverlap="1" layoutInCell="1" locked="0" behindDoc="0" simplePos="0" relativeHeight="0">
            <wp:simplePos x="0" y="0"/>
            <wp:positionH relativeFrom="page">
              <wp:posOffset>1175394</wp:posOffset>
            </wp:positionH>
            <wp:positionV relativeFrom="paragraph">
              <wp:posOffset>211552</wp:posOffset>
            </wp:positionV>
            <wp:extent cx="5076789" cy="596265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5076789" cy="5962650"/>
                    </a:xfrm>
                    <a:prstGeom prst="rect">
                      <a:avLst/>
                    </a:prstGeom>
                  </pic:spPr>
                </pic:pic>
              </a:graphicData>
            </a:graphic>
          </wp:anchor>
        </w:drawing>
      </w:r>
    </w:p>
    <w:p>
      <w:pPr>
        <w:spacing w:after="0"/>
        <w:rPr>
          <w:sz w:val="25"/>
        </w:rPr>
        <w:sectPr>
          <w:pgSz w:w="11910" w:h="16840"/>
          <w:pgMar w:header="1217" w:footer="0" w:top="2740" w:bottom="280" w:left="1300" w:right="1440"/>
        </w:sectPr>
      </w:pPr>
    </w:p>
    <w:p>
      <w:pPr>
        <w:pStyle w:val="BodyText"/>
        <w:rPr>
          <w:sz w:val="20"/>
        </w:rPr>
      </w:pPr>
    </w:p>
    <w:p>
      <w:pPr>
        <w:pStyle w:val="BodyText"/>
        <w:spacing w:before="5"/>
        <w:rPr>
          <w:sz w:val="28"/>
        </w:rPr>
      </w:pPr>
    </w:p>
    <w:p>
      <w:pPr>
        <w:pStyle w:val="BodyText"/>
        <w:ind w:left="461"/>
        <w:rPr>
          <w:sz w:val="20"/>
        </w:rPr>
      </w:pPr>
      <w:r>
        <w:rPr>
          <w:sz w:val="20"/>
        </w:rPr>
        <w:drawing>
          <wp:inline distT="0" distB="0" distL="0" distR="0">
            <wp:extent cx="4943636" cy="555307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4943636" cy="5553075"/>
                    </a:xfrm>
                    <a:prstGeom prst="rect">
                      <a:avLst/>
                    </a:prstGeom>
                  </pic:spPr>
                </pic:pic>
              </a:graphicData>
            </a:graphic>
          </wp:inline>
        </w:drawing>
      </w:r>
      <w:r>
        <w:rPr>
          <w:sz w:val="20"/>
        </w:rPr>
      </w:r>
    </w:p>
    <w:p>
      <w:pPr>
        <w:pStyle w:val="BodyText"/>
        <w:rPr>
          <w:sz w:val="20"/>
        </w:rPr>
      </w:pPr>
    </w:p>
    <w:p>
      <w:pPr>
        <w:pStyle w:val="BodyText"/>
        <w:spacing w:before="5"/>
        <w:rPr>
          <w:sz w:val="13"/>
        </w:rPr>
      </w:pPr>
      <w:r>
        <w:rPr/>
        <w:drawing>
          <wp:anchor distT="0" distB="0" distL="0" distR="0" allowOverlap="1" layoutInCell="1" locked="0" behindDoc="0" simplePos="0" relativeHeight="1">
            <wp:simplePos x="0" y="0"/>
            <wp:positionH relativeFrom="page">
              <wp:posOffset>1137285</wp:posOffset>
            </wp:positionH>
            <wp:positionV relativeFrom="paragraph">
              <wp:posOffset>122919</wp:posOffset>
            </wp:positionV>
            <wp:extent cx="4330393" cy="1348454"/>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4330393" cy="1348454"/>
                    </a:xfrm>
                    <a:prstGeom prst="rect">
                      <a:avLst/>
                    </a:prstGeom>
                  </pic:spPr>
                </pic:pic>
              </a:graphicData>
            </a:graphic>
          </wp:anchor>
        </w:drawing>
      </w:r>
    </w:p>
    <w:p>
      <w:pPr>
        <w:spacing w:after="0"/>
        <w:rPr>
          <w:sz w:val="13"/>
        </w:rPr>
        <w:sectPr>
          <w:pgSz w:w="11910" w:h="16840"/>
          <w:pgMar w:header="1217" w:footer="0" w:top="2740" w:bottom="280" w:left="1300" w:right="1440"/>
        </w:sectPr>
      </w:pPr>
    </w:p>
    <w:p>
      <w:pPr>
        <w:pStyle w:val="BodyText"/>
        <w:rPr>
          <w:sz w:val="20"/>
        </w:rPr>
      </w:pPr>
    </w:p>
    <w:p>
      <w:pPr>
        <w:pStyle w:val="BodyText"/>
        <w:spacing w:before="3"/>
        <w:rPr>
          <w:sz w:val="19"/>
        </w:rPr>
      </w:pPr>
    </w:p>
    <w:p>
      <w:pPr>
        <w:pStyle w:val="BodyText"/>
        <w:spacing w:before="90"/>
        <w:ind w:left="402"/>
        <w:jc w:val="both"/>
      </w:pPr>
      <w:r>
        <w:rPr/>
        <w:t>Movimientos de plantilla que han habido en el año 2025:</w:t>
      </w:r>
    </w:p>
    <w:p>
      <w:pPr>
        <w:pStyle w:val="BodyText"/>
        <w:spacing w:before="8"/>
        <w:rPr>
          <w:sz w:val="27"/>
        </w:rPr>
      </w:pPr>
    </w:p>
    <w:p>
      <w:pPr>
        <w:pStyle w:val="BodyText"/>
        <w:spacing w:line="259" w:lineRule="auto" w:before="1"/>
        <w:ind w:left="402" w:right="257"/>
        <w:jc w:val="both"/>
      </w:pPr>
      <w:r>
        <w:rPr/>
        <w:t>Bajas por jubilación funcionarios/as de carrera: 6 Policías locales por jubilación anticipada voluntaria. 1 Oficial de policía local por jubilación anticipada voluntaria. 1 Auxiliar Administrativa por jubilación ordinaria. 1 Subalterna por jubilación ordinaria.</w:t>
      </w:r>
    </w:p>
    <w:p>
      <w:pPr>
        <w:pStyle w:val="BodyText"/>
        <w:spacing w:before="8"/>
        <w:rPr>
          <w:sz w:val="25"/>
        </w:rPr>
      </w:pPr>
    </w:p>
    <w:p>
      <w:pPr>
        <w:pStyle w:val="BodyText"/>
        <w:spacing w:line="259" w:lineRule="auto"/>
        <w:ind w:left="402" w:right="261"/>
        <w:jc w:val="both"/>
      </w:pPr>
      <w:r>
        <w:rPr/>
        <w:t>Bajas funcionarios/as en practicas: 3 Policías Locales por pase a nombramiento de funcionarios/as de carrera.</w:t>
      </w:r>
    </w:p>
    <w:p>
      <w:pPr>
        <w:pStyle w:val="BodyText"/>
        <w:spacing w:before="1"/>
        <w:rPr>
          <w:sz w:val="26"/>
        </w:rPr>
      </w:pPr>
    </w:p>
    <w:p>
      <w:pPr>
        <w:pStyle w:val="BodyText"/>
        <w:spacing w:line="259" w:lineRule="auto"/>
        <w:ind w:left="402" w:right="258"/>
        <w:jc w:val="both"/>
      </w:pPr>
      <w:r>
        <w:rPr/>
        <w:t>Ceses de funcionarios/as interinos/as: 1 Operario Informático en sustitución de la titular por reincorporación de esta. 1 Arquitecta por renuncia. 3 Administrativos/as por pase a situación de excedencia voluntaria por incompatibilidad. 4 Auxiliares Administrativas por cubrirse las plazas en propiedad.</w:t>
      </w:r>
    </w:p>
    <w:p>
      <w:pPr>
        <w:pStyle w:val="BodyText"/>
        <w:spacing w:before="8"/>
        <w:rPr>
          <w:sz w:val="25"/>
        </w:rPr>
      </w:pPr>
    </w:p>
    <w:p>
      <w:pPr>
        <w:pStyle w:val="BodyText"/>
        <w:spacing w:line="259" w:lineRule="auto"/>
        <w:ind w:left="402" w:right="255"/>
        <w:jc w:val="both"/>
      </w:pPr>
      <w:r>
        <w:rPr/>
        <w:t>Nombramientos funcionarios/as de carrera: 6 Auxiliares Administrativas. 4 Administrativo/as. 1 Trabajadora Social. 1 Ingeniero Informático. 3 Policías Locales.</w:t>
      </w:r>
    </w:p>
    <w:p>
      <w:pPr>
        <w:pStyle w:val="BodyText"/>
        <w:spacing w:before="9"/>
        <w:rPr>
          <w:sz w:val="25"/>
        </w:rPr>
      </w:pPr>
    </w:p>
    <w:p>
      <w:pPr>
        <w:pStyle w:val="BodyText"/>
        <w:spacing w:line="259" w:lineRule="auto" w:before="1"/>
        <w:ind w:left="402" w:right="260"/>
        <w:jc w:val="both"/>
      </w:pPr>
      <w:r>
        <w:rPr/>
        <w:t>Nombramiento funcionarios/as interinos/as: 1 nombramiento de funcionarios/as interinos/as para programa de empleo temporal. 1 Arquitecta por plaza vacante. 1 Arquitecto Técnico por plaza vacante. 3 Administrativos/as por plazas vacante. 4 Auxiliares</w:t>
      </w:r>
      <w:r>
        <w:rPr>
          <w:spacing w:val="-16"/>
        </w:rPr>
        <w:t> </w:t>
      </w:r>
      <w:r>
        <w:rPr/>
        <w:t>Administrativas</w:t>
      </w:r>
      <w:r>
        <w:rPr>
          <w:spacing w:val="-16"/>
        </w:rPr>
        <w:t> </w:t>
      </w:r>
      <w:r>
        <w:rPr/>
        <w:t>por</w:t>
      </w:r>
      <w:r>
        <w:rPr>
          <w:spacing w:val="-16"/>
        </w:rPr>
        <w:t> </w:t>
      </w:r>
      <w:r>
        <w:rPr/>
        <w:t>plazas</w:t>
      </w:r>
      <w:r>
        <w:rPr>
          <w:spacing w:val="-16"/>
        </w:rPr>
        <w:t> </w:t>
      </w:r>
      <w:r>
        <w:rPr/>
        <w:t>vacantes.</w:t>
      </w:r>
      <w:r>
        <w:rPr>
          <w:spacing w:val="-14"/>
        </w:rPr>
        <w:t> </w:t>
      </w:r>
      <w:r>
        <w:rPr/>
        <w:t>1</w:t>
      </w:r>
      <w:r>
        <w:rPr>
          <w:spacing w:val="-15"/>
        </w:rPr>
        <w:t> </w:t>
      </w:r>
      <w:r>
        <w:rPr/>
        <w:t>Técnico</w:t>
      </w:r>
      <w:r>
        <w:rPr>
          <w:spacing w:val="-17"/>
        </w:rPr>
        <w:t> </w:t>
      </w:r>
      <w:r>
        <w:rPr/>
        <w:t>de</w:t>
      </w:r>
      <w:r>
        <w:rPr>
          <w:spacing w:val="-16"/>
        </w:rPr>
        <w:t> </w:t>
      </w:r>
      <w:r>
        <w:rPr/>
        <w:t>Administración</w:t>
      </w:r>
      <w:r>
        <w:rPr>
          <w:spacing w:val="-16"/>
        </w:rPr>
        <w:t> </w:t>
      </w:r>
      <w:r>
        <w:rPr/>
        <w:t>General</w:t>
      </w:r>
      <w:r>
        <w:rPr>
          <w:spacing w:val="-16"/>
        </w:rPr>
        <w:t> </w:t>
      </w:r>
      <w:r>
        <w:rPr/>
        <w:t>por plaza</w:t>
      </w:r>
      <w:r>
        <w:rPr>
          <w:spacing w:val="-2"/>
        </w:rPr>
        <w:t> </w:t>
      </w:r>
      <w:r>
        <w:rPr/>
        <w:t>vacante.</w:t>
      </w:r>
    </w:p>
    <w:p>
      <w:pPr>
        <w:pStyle w:val="BodyText"/>
        <w:spacing w:before="10"/>
        <w:rPr>
          <w:sz w:val="25"/>
        </w:rPr>
      </w:pPr>
    </w:p>
    <w:p>
      <w:pPr>
        <w:pStyle w:val="BodyText"/>
        <w:ind w:left="402"/>
        <w:jc w:val="both"/>
      </w:pPr>
      <w:r>
        <w:rPr/>
        <w:t>Nombramiento funcionarios en prácticas: 8 Policías Locales.</w:t>
      </w:r>
    </w:p>
    <w:p>
      <w:pPr>
        <w:pStyle w:val="BodyText"/>
        <w:spacing w:before="9"/>
        <w:rPr>
          <w:sz w:val="27"/>
        </w:rPr>
      </w:pPr>
    </w:p>
    <w:p>
      <w:pPr>
        <w:pStyle w:val="BodyText"/>
        <w:spacing w:line="259" w:lineRule="auto"/>
        <w:ind w:left="402" w:right="255"/>
        <w:jc w:val="both"/>
      </w:pPr>
      <w:r>
        <w:rPr/>
        <w:t>Bajas por jubilación ordinaria personal laboral fijo: 2 limpiadoras. 1 Oficial 2ª de Mantenimiento en general. 1 Operario de Mantenimiento por fallecimiento.</w:t>
      </w:r>
    </w:p>
    <w:p>
      <w:pPr>
        <w:pStyle w:val="BodyText"/>
        <w:spacing w:before="9"/>
        <w:rPr>
          <w:sz w:val="25"/>
        </w:rPr>
      </w:pPr>
    </w:p>
    <w:p>
      <w:pPr>
        <w:pStyle w:val="BodyText"/>
        <w:spacing w:line="261" w:lineRule="auto"/>
        <w:ind w:left="402" w:right="260"/>
        <w:jc w:val="both"/>
      </w:pPr>
      <w:r>
        <w:rPr/>
        <w:t>Ceses</w:t>
      </w:r>
      <w:r>
        <w:rPr>
          <w:spacing w:val="-12"/>
        </w:rPr>
        <w:t> </w:t>
      </w:r>
      <w:r>
        <w:rPr/>
        <w:t>de</w:t>
      </w:r>
      <w:r>
        <w:rPr>
          <w:spacing w:val="-13"/>
        </w:rPr>
        <w:t> </w:t>
      </w:r>
      <w:r>
        <w:rPr/>
        <w:t>personal</w:t>
      </w:r>
      <w:r>
        <w:rPr>
          <w:spacing w:val="-11"/>
        </w:rPr>
        <w:t> </w:t>
      </w:r>
      <w:r>
        <w:rPr/>
        <w:t>laboral</w:t>
      </w:r>
      <w:r>
        <w:rPr>
          <w:spacing w:val="-9"/>
        </w:rPr>
        <w:t> </w:t>
      </w:r>
      <w:r>
        <w:rPr/>
        <w:t>temporal</w:t>
      </w:r>
      <w:r>
        <w:rPr>
          <w:spacing w:val="-11"/>
        </w:rPr>
        <w:t> </w:t>
      </w:r>
      <w:r>
        <w:rPr/>
        <w:t>interino:</w:t>
      </w:r>
      <w:r>
        <w:rPr>
          <w:spacing w:val="-11"/>
        </w:rPr>
        <w:t> </w:t>
      </w:r>
      <w:r>
        <w:rPr/>
        <w:t>5</w:t>
      </w:r>
      <w:r>
        <w:rPr>
          <w:spacing w:val="-12"/>
        </w:rPr>
        <w:t> </w:t>
      </w:r>
      <w:r>
        <w:rPr/>
        <w:t>Operarios/as</w:t>
      </w:r>
      <w:r>
        <w:rPr>
          <w:spacing w:val="-11"/>
        </w:rPr>
        <w:t> </w:t>
      </w:r>
      <w:r>
        <w:rPr/>
        <w:t>de</w:t>
      </w:r>
      <w:r>
        <w:rPr>
          <w:spacing w:val="-13"/>
        </w:rPr>
        <w:t> </w:t>
      </w:r>
      <w:r>
        <w:rPr/>
        <w:t>Mantenimiento</w:t>
      </w:r>
      <w:r>
        <w:rPr>
          <w:spacing w:val="-11"/>
        </w:rPr>
        <w:t> </w:t>
      </w:r>
      <w:r>
        <w:rPr/>
        <w:t>en</w:t>
      </w:r>
      <w:r>
        <w:rPr>
          <w:spacing w:val="-12"/>
        </w:rPr>
        <w:t> </w:t>
      </w:r>
      <w:r>
        <w:rPr/>
        <w:t>general, por cubrirse el puesto en</w:t>
      </w:r>
      <w:r>
        <w:rPr>
          <w:spacing w:val="2"/>
        </w:rPr>
        <w:t> </w:t>
      </w:r>
      <w:r>
        <w:rPr/>
        <w:t>propiedad.</w:t>
      </w:r>
    </w:p>
    <w:p>
      <w:pPr>
        <w:pStyle w:val="BodyText"/>
        <w:spacing w:before="6"/>
        <w:rPr>
          <w:sz w:val="25"/>
        </w:rPr>
      </w:pPr>
    </w:p>
    <w:p>
      <w:pPr>
        <w:pStyle w:val="BodyText"/>
        <w:spacing w:line="259" w:lineRule="auto"/>
        <w:ind w:left="402" w:right="256"/>
        <w:jc w:val="both"/>
      </w:pPr>
      <w:r>
        <w:rPr/>
        <w:t>Contratación</w:t>
      </w:r>
      <w:r>
        <w:rPr>
          <w:spacing w:val="-16"/>
        </w:rPr>
        <w:t> </w:t>
      </w:r>
      <w:r>
        <w:rPr/>
        <w:t>de</w:t>
      </w:r>
      <w:r>
        <w:rPr>
          <w:spacing w:val="-18"/>
        </w:rPr>
        <w:t> </w:t>
      </w:r>
      <w:r>
        <w:rPr/>
        <w:t>personal</w:t>
      </w:r>
      <w:r>
        <w:rPr>
          <w:spacing w:val="-14"/>
        </w:rPr>
        <w:t> </w:t>
      </w:r>
      <w:r>
        <w:rPr/>
        <w:t>laboral</w:t>
      </w:r>
      <w:r>
        <w:rPr>
          <w:spacing w:val="-16"/>
        </w:rPr>
        <w:t> </w:t>
      </w:r>
      <w:r>
        <w:rPr/>
        <w:t>fijo:</w:t>
      </w:r>
      <w:r>
        <w:rPr>
          <w:spacing w:val="-16"/>
        </w:rPr>
        <w:t> </w:t>
      </w:r>
      <w:r>
        <w:rPr/>
        <w:t>4</w:t>
      </w:r>
      <w:r>
        <w:rPr>
          <w:spacing w:val="-17"/>
        </w:rPr>
        <w:t> </w:t>
      </w:r>
      <w:r>
        <w:rPr/>
        <w:t>Operarios</w:t>
      </w:r>
      <w:r>
        <w:rPr>
          <w:spacing w:val="-16"/>
        </w:rPr>
        <w:t> </w:t>
      </w:r>
      <w:r>
        <w:rPr/>
        <w:t>de</w:t>
      </w:r>
      <w:r>
        <w:rPr>
          <w:spacing w:val="-18"/>
        </w:rPr>
        <w:t> </w:t>
      </w:r>
      <w:r>
        <w:rPr/>
        <w:t>Mantenimiento</w:t>
      </w:r>
      <w:r>
        <w:rPr>
          <w:spacing w:val="-16"/>
        </w:rPr>
        <w:t> </w:t>
      </w:r>
      <w:r>
        <w:rPr/>
        <w:t>en</w:t>
      </w:r>
      <w:r>
        <w:rPr>
          <w:spacing w:val="-17"/>
        </w:rPr>
        <w:t> </w:t>
      </w:r>
      <w:r>
        <w:rPr/>
        <w:t>general.</w:t>
      </w:r>
      <w:r>
        <w:rPr>
          <w:spacing w:val="-14"/>
        </w:rPr>
        <w:t> </w:t>
      </w:r>
      <w:r>
        <w:rPr/>
        <w:t>1</w:t>
      </w:r>
      <w:r>
        <w:rPr>
          <w:spacing w:val="-17"/>
        </w:rPr>
        <w:t> </w:t>
      </w:r>
      <w:r>
        <w:rPr/>
        <w:t>Chofer- Operario de Mantenimiento en General. 1</w:t>
      </w:r>
      <w:r>
        <w:rPr>
          <w:spacing w:val="-2"/>
        </w:rPr>
        <w:t> </w:t>
      </w:r>
      <w:r>
        <w:rPr/>
        <w:t>Chofer-Tractorista.</w:t>
      </w:r>
    </w:p>
    <w:p>
      <w:pPr>
        <w:pStyle w:val="BodyText"/>
        <w:spacing w:before="10"/>
        <w:rPr>
          <w:sz w:val="25"/>
        </w:rPr>
      </w:pPr>
    </w:p>
    <w:p>
      <w:pPr>
        <w:pStyle w:val="BodyText"/>
        <w:spacing w:line="259" w:lineRule="auto"/>
        <w:ind w:left="402" w:right="257"/>
        <w:jc w:val="both"/>
      </w:pPr>
      <w:r>
        <w:rPr/>
        <w:t>Contratación personal laboral temporal interino: 4 Operarios de Mantenimiento en general por plazas vacantes.</w:t>
      </w:r>
    </w:p>
    <w:p>
      <w:pPr>
        <w:pStyle w:val="BodyText"/>
        <w:spacing w:before="9"/>
        <w:rPr>
          <w:sz w:val="25"/>
        </w:rPr>
      </w:pPr>
    </w:p>
    <w:p>
      <w:pPr>
        <w:pStyle w:val="BodyText"/>
        <w:spacing w:line="520" w:lineRule="auto"/>
        <w:ind w:left="402" w:right="3616"/>
      </w:pPr>
      <w:r>
        <w:rPr/>
        <w:t>Ceses de Personal eventual: 3 Asesores políticos. Nombramiento personal eventual: 1 Asesora Politica.</w:t>
      </w:r>
    </w:p>
    <w:p>
      <w:pPr>
        <w:spacing w:after="0" w:line="520" w:lineRule="auto"/>
        <w:sectPr>
          <w:pgSz w:w="11910" w:h="16840"/>
          <w:pgMar w:header="1217" w:footer="0" w:top="2740" w:bottom="280" w:left="1300" w:right="1440"/>
        </w:sectPr>
      </w:pPr>
    </w:p>
    <w:p>
      <w:pPr>
        <w:pStyle w:val="BodyText"/>
        <w:rPr>
          <w:sz w:val="20"/>
        </w:rPr>
      </w:pPr>
    </w:p>
    <w:p>
      <w:pPr>
        <w:pStyle w:val="BodyText"/>
        <w:spacing w:before="3"/>
        <w:rPr>
          <w:sz w:val="19"/>
        </w:rPr>
      </w:pPr>
    </w:p>
    <w:p>
      <w:pPr>
        <w:pStyle w:val="Heading4"/>
      </w:pPr>
      <w:r>
        <w:rPr/>
        <w:t>4.- ORGANIZACIÓN ADMINISTRATIVA.</w:t>
      </w:r>
    </w:p>
    <w:p>
      <w:pPr>
        <w:pStyle w:val="BodyText"/>
        <w:spacing w:before="8"/>
        <w:rPr>
          <w:b/>
          <w:sz w:val="27"/>
        </w:rPr>
      </w:pPr>
    </w:p>
    <w:p>
      <w:pPr>
        <w:pStyle w:val="BodyText"/>
        <w:spacing w:line="259" w:lineRule="auto" w:before="1"/>
        <w:ind w:left="402"/>
      </w:pPr>
      <w:r>
        <w:rPr/>
        <w:t>Actualmente la organización de los servicios administrativos del Ayuntamiento de Tías, para la gestión administrativa se estructura en torno a las siguientes unidades:</w:t>
      </w:r>
    </w:p>
    <w:p>
      <w:pPr>
        <w:pStyle w:val="BodyText"/>
        <w:spacing w:line="596" w:lineRule="exact" w:before="43"/>
        <w:ind w:left="402" w:right="2077"/>
      </w:pPr>
      <w:r>
        <w:rPr/>
        <w:t>Organización de Unidades Administrativas del Ayuntamiento de Tías I.- ALCALDÍA.</w:t>
      </w:r>
    </w:p>
    <w:p>
      <w:pPr>
        <w:pStyle w:val="BodyText"/>
        <w:spacing w:line="233" w:lineRule="exact"/>
        <w:ind w:left="402"/>
      </w:pPr>
      <w:r>
        <w:rPr/>
        <w:t>Funciones: Coordinación General, acceso a información de los concejales, organización</w:t>
      </w:r>
    </w:p>
    <w:p>
      <w:pPr>
        <w:pStyle w:val="BodyText"/>
        <w:spacing w:line="259" w:lineRule="auto" w:before="22"/>
        <w:ind w:left="402" w:right="263"/>
      </w:pPr>
      <w:r>
        <w:rPr/>
        <w:t>y funcionamiento del Ayuntamiento, responsabilidad patrimonial, funciones no atribuidas expresamente a otras Unidades Administrativas.</w:t>
      </w:r>
    </w:p>
    <w:p>
      <w:pPr>
        <w:pStyle w:val="BodyText"/>
        <w:spacing w:before="9"/>
        <w:rPr>
          <w:sz w:val="25"/>
        </w:rPr>
      </w:pPr>
    </w:p>
    <w:p>
      <w:pPr>
        <w:pStyle w:val="BodyText"/>
        <w:ind w:left="402"/>
      </w:pPr>
      <w:r>
        <w:rPr/>
        <w:t>II.- SECRETARÍA DEL AYUNTAMIENTO.</w:t>
      </w:r>
    </w:p>
    <w:p>
      <w:pPr>
        <w:pStyle w:val="BodyText"/>
        <w:spacing w:before="22"/>
        <w:ind w:left="402"/>
        <w:jc w:val="both"/>
      </w:pPr>
      <w:r>
        <w:rPr/>
        <w:t>Funciones: Las atribuidas expresamente a la Secretaría en el Real Decreto 128/2018, de</w:t>
      </w:r>
    </w:p>
    <w:p>
      <w:pPr>
        <w:pStyle w:val="BodyText"/>
        <w:spacing w:line="259" w:lineRule="auto" w:before="22"/>
        <w:ind w:left="402" w:right="264"/>
        <w:jc w:val="both"/>
      </w:pPr>
      <w:r>
        <w:rPr/>
        <w:t>16 de marzo, por el que se regula el régimen jurídico de los funcionarios de Administración Local con habilitación de carácter nacional. Ley 7/1985, de 2 de abril, Reguladora de las Bases del Régimen Local. Real Decreto Legislativo 781/1986, de 18 de abril, por el que se aprueba el texto refundido de las disposiciones legales vigentes en materia de Régimen Local, Real Decreto 2568/1986, de 28 de noviembre, por el que se aprueba el Reglamento de Organización, Funcionamiento y Régimen Jurídico de las Entidades Locales, y resto de normativa de aplicación.</w:t>
      </w:r>
    </w:p>
    <w:p>
      <w:pPr>
        <w:pStyle w:val="BodyText"/>
        <w:spacing w:before="9"/>
        <w:rPr>
          <w:sz w:val="25"/>
        </w:rPr>
      </w:pPr>
    </w:p>
    <w:p>
      <w:pPr>
        <w:pStyle w:val="BodyText"/>
        <w:ind w:left="402"/>
      </w:pPr>
      <w:r>
        <w:rPr/>
        <w:t>III.- INTERVENCIÓN DEL AYUNTAMIENTO.</w:t>
      </w:r>
    </w:p>
    <w:p>
      <w:pPr>
        <w:pStyle w:val="BodyText"/>
        <w:spacing w:line="259" w:lineRule="auto" w:before="22"/>
        <w:ind w:left="402" w:right="260"/>
        <w:jc w:val="both"/>
      </w:pPr>
      <w:r>
        <w:rPr/>
        <w:t>Funciones: Las atribuidas expresamente a la Intervención en el Real Decreto 128/2018, de 16 de marzo, por el que se regula el régimen jurídico de los funcionarios de Administración Local con habilitación de carácter nacional. Ley 7/1985, de 2 de abril, Reguladora de las Bases del Régimen Local. Real Decreto Legislativo 781/1986, de 18 de abril, por el que se aprueba el texto refundido de las disposiciones legales vigentes en materia de Régimen Local, Real Decreto 2568/1986, de 28 de noviembre, por el que se aprueba el Reglamento de Organización, Funcionamiento y Régimen Jurídico de las Entidades Locales, y resto de normativa de aplicación.</w:t>
      </w:r>
    </w:p>
    <w:p>
      <w:pPr>
        <w:pStyle w:val="BodyText"/>
        <w:spacing w:before="9"/>
        <w:rPr>
          <w:sz w:val="25"/>
        </w:rPr>
      </w:pPr>
    </w:p>
    <w:p>
      <w:pPr>
        <w:pStyle w:val="BodyText"/>
        <w:ind w:left="402"/>
      </w:pPr>
      <w:r>
        <w:rPr/>
        <w:t>IV.- TESORERÍA DEL AYUNTAMIENTO.</w:t>
      </w:r>
    </w:p>
    <w:p>
      <w:pPr>
        <w:pStyle w:val="BodyText"/>
        <w:spacing w:before="22"/>
        <w:ind w:left="402"/>
        <w:jc w:val="both"/>
      </w:pPr>
      <w:r>
        <w:rPr/>
        <w:t>Funciones: Las atribuidas expresamente a la Tesorería en el Real Decreto 128/2018, de</w:t>
      </w:r>
    </w:p>
    <w:p>
      <w:pPr>
        <w:pStyle w:val="BodyText"/>
        <w:spacing w:line="259" w:lineRule="auto" w:before="22"/>
        <w:ind w:left="402" w:right="264"/>
        <w:jc w:val="both"/>
      </w:pPr>
      <w:r>
        <w:rPr/>
        <w:t>16 de marzo, por el que se regula el régimen jurídico de los funcionarios de Administración Local con habilitación de carácter nacional. Ley 7/1985, de 2 de abril, Reguladora de las Bases del Régimen Local. Real Decreto Legislativo 781/1986, de 18 de abril, por el que se aprueba el texto refundido de las disposiciones legales vigentes en materia de Régimen Local, Real Decreto 2568/1986, de 28 de noviembre, por el que se</w:t>
      </w:r>
    </w:p>
    <w:p>
      <w:pPr>
        <w:spacing w:after="0" w:line="259" w:lineRule="auto"/>
        <w:jc w:val="both"/>
        <w:sectPr>
          <w:pgSz w:w="11910" w:h="16840"/>
          <w:pgMar w:header="1217" w:footer="0" w:top="2740" w:bottom="280" w:left="1300" w:right="1440"/>
        </w:sectPr>
      </w:pPr>
    </w:p>
    <w:p>
      <w:pPr>
        <w:pStyle w:val="BodyText"/>
        <w:rPr>
          <w:sz w:val="20"/>
        </w:rPr>
      </w:pPr>
    </w:p>
    <w:p>
      <w:pPr>
        <w:pStyle w:val="BodyText"/>
        <w:spacing w:before="3"/>
        <w:rPr>
          <w:sz w:val="19"/>
        </w:rPr>
      </w:pPr>
    </w:p>
    <w:p>
      <w:pPr>
        <w:pStyle w:val="BodyText"/>
        <w:spacing w:line="259" w:lineRule="auto" w:before="90"/>
        <w:ind w:left="402"/>
      </w:pPr>
      <w:r>
        <w:rPr/>
        <w:t>aprueba el Reglamento de Organización, Funcionamiento y Régimen Jurídico de las Entidades Locales, y resto de normativa de aplicación.</w:t>
      </w:r>
    </w:p>
    <w:p>
      <w:pPr>
        <w:pStyle w:val="BodyText"/>
        <w:spacing w:before="9"/>
        <w:rPr>
          <w:sz w:val="25"/>
        </w:rPr>
      </w:pPr>
    </w:p>
    <w:p>
      <w:pPr>
        <w:pStyle w:val="BodyText"/>
        <w:ind w:left="402"/>
      </w:pPr>
      <w:r>
        <w:rPr/>
        <w:t>V.- UNIDAD DE RÉGIMEN INTERIOR.</w:t>
      </w:r>
    </w:p>
    <w:p>
      <w:pPr>
        <w:pStyle w:val="BodyText"/>
        <w:spacing w:line="259" w:lineRule="auto" w:before="22"/>
        <w:ind w:left="402" w:right="263"/>
      </w:pPr>
      <w:r>
        <w:rPr/>
        <w:t>Incorpora las Unidades de Registro (Oficina de asistencia en materia de registros), y de Archivo. Funciones: registro (Oficina de asistencia en materia de registros), archivo, informática y nuevas tecnologías, canal de denuncias, subvenciones recibidas. Tramitación y ejecución de Planes, Programas y Convenios en materia de Empleo suscritos con otras Administraciones Públicas.</w:t>
      </w:r>
    </w:p>
    <w:p>
      <w:pPr>
        <w:pStyle w:val="BodyText"/>
        <w:spacing w:before="10"/>
        <w:rPr>
          <w:sz w:val="25"/>
        </w:rPr>
      </w:pPr>
    </w:p>
    <w:p>
      <w:pPr>
        <w:pStyle w:val="BodyText"/>
        <w:ind w:left="402"/>
      </w:pPr>
      <w:r>
        <w:rPr/>
        <w:t>VI.- UNIDAD DE SERVICIOS GENERALES.</w:t>
      </w:r>
    </w:p>
    <w:p>
      <w:pPr>
        <w:pStyle w:val="BodyText"/>
        <w:spacing w:line="259" w:lineRule="auto" w:before="22"/>
        <w:ind w:left="402" w:right="260"/>
        <w:jc w:val="both"/>
      </w:pPr>
      <w:r>
        <w:rPr/>
        <w:t>Funciones: Patrimonio (inventario, concesiones, autorizaciones, contratos patrimoniales, potestades</w:t>
      </w:r>
      <w:r>
        <w:rPr>
          <w:spacing w:val="-6"/>
        </w:rPr>
        <w:t> </w:t>
      </w:r>
      <w:r>
        <w:rPr/>
        <w:t>patrimoniales),</w:t>
      </w:r>
      <w:r>
        <w:rPr>
          <w:spacing w:val="-6"/>
        </w:rPr>
        <w:t> </w:t>
      </w:r>
      <w:r>
        <w:rPr/>
        <w:t>elecciones,</w:t>
      </w:r>
      <w:r>
        <w:rPr>
          <w:spacing w:val="-5"/>
        </w:rPr>
        <w:t> </w:t>
      </w:r>
      <w:r>
        <w:rPr/>
        <w:t>padrón</w:t>
      </w:r>
      <w:r>
        <w:rPr>
          <w:spacing w:val="-7"/>
        </w:rPr>
        <w:t> </w:t>
      </w:r>
      <w:r>
        <w:rPr/>
        <w:t>y</w:t>
      </w:r>
      <w:r>
        <w:rPr>
          <w:spacing w:val="-5"/>
        </w:rPr>
        <w:t> </w:t>
      </w:r>
      <w:r>
        <w:rPr/>
        <w:t>estadística,</w:t>
      </w:r>
      <w:r>
        <w:rPr>
          <w:spacing w:val="-6"/>
        </w:rPr>
        <w:t> </w:t>
      </w:r>
      <w:r>
        <w:rPr/>
        <w:t>transparencia</w:t>
      </w:r>
      <w:r>
        <w:rPr>
          <w:spacing w:val="-5"/>
        </w:rPr>
        <w:t> </w:t>
      </w:r>
      <w:r>
        <w:rPr/>
        <w:t>y</w:t>
      </w:r>
      <w:r>
        <w:rPr>
          <w:spacing w:val="-3"/>
        </w:rPr>
        <w:t> </w:t>
      </w:r>
      <w:r>
        <w:rPr/>
        <w:t>protección</w:t>
      </w:r>
      <w:r>
        <w:rPr>
          <w:spacing w:val="-4"/>
        </w:rPr>
        <w:t> </w:t>
      </w:r>
      <w:r>
        <w:rPr/>
        <w:t>de datos, procedimientos judiciales, acceso a la información de ciudadanos, servicio de temporada de</w:t>
      </w:r>
      <w:r>
        <w:rPr>
          <w:spacing w:val="-3"/>
        </w:rPr>
        <w:t> </w:t>
      </w:r>
      <w:r>
        <w:rPr/>
        <w:t>playas.</w:t>
      </w:r>
    </w:p>
    <w:p>
      <w:pPr>
        <w:pStyle w:val="BodyText"/>
        <w:spacing w:before="8"/>
        <w:rPr>
          <w:sz w:val="25"/>
        </w:rPr>
      </w:pPr>
    </w:p>
    <w:p>
      <w:pPr>
        <w:pStyle w:val="BodyText"/>
        <w:ind w:left="402"/>
      </w:pPr>
      <w:r>
        <w:rPr/>
        <w:t>VII.- OFICINA TÉCNICA MUNICIPAL.</w:t>
      </w:r>
    </w:p>
    <w:p>
      <w:pPr>
        <w:pStyle w:val="BodyText"/>
        <w:spacing w:line="259" w:lineRule="auto" w:before="22"/>
        <w:ind w:left="402" w:right="261"/>
        <w:jc w:val="both"/>
      </w:pPr>
      <w:r>
        <w:rPr/>
        <w:t>Funciones: Urbanismo, expropiaciones, actividades y espectáculos públicos, venta ambulante, régimen sancionador, asistencia técnica a la unidades administrativas del Ayuntamiento.</w:t>
      </w:r>
    </w:p>
    <w:p>
      <w:pPr>
        <w:pStyle w:val="BodyText"/>
        <w:rPr>
          <w:sz w:val="26"/>
        </w:rPr>
      </w:pPr>
    </w:p>
    <w:p>
      <w:pPr>
        <w:pStyle w:val="BodyText"/>
        <w:ind w:left="402"/>
      </w:pPr>
      <w:r>
        <w:rPr/>
        <w:t>VIII.- UNIDAD DE RECURSOS HUMANOS</w:t>
      </w:r>
    </w:p>
    <w:p>
      <w:pPr>
        <w:pStyle w:val="BodyText"/>
        <w:spacing w:line="259" w:lineRule="auto" w:before="22"/>
        <w:ind w:left="402" w:right="265"/>
        <w:jc w:val="both"/>
      </w:pPr>
      <w:r>
        <w:rPr/>
        <w:t>Funciones: Tramitación de expedientes en materia de personal del Ayuntamiento, elaboración de nóminas.</w:t>
      </w:r>
    </w:p>
    <w:p>
      <w:pPr>
        <w:pStyle w:val="BodyText"/>
        <w:spacing w:before="9"/>
        <w:rPr>
          <w:sz w:val="25"/>
        </w:rPr>
      </w:pPr>
    </w:p>
    <w:p>
      <w:pPr>
        <w:pStyle w:val="BodyText"/>
        <w:ind w:left="402"/>
      </w:pPr>
      <w:r>
        <w:rPr/>
        <w:t>IX.- UNIDAD DE CONTRATACIÓN.</w:t>
      </w:r>
    </w:p>
    <w:p>
      <w:pPr>
        <w:pStyle w:val="BodyText"/>
        <w:spacing w:before="22"/>
        <w:ind w:left="402"/>
        <w:jc w:val="both"/>
      </w:pPr>
      <w:r>
        <w:rPr/>
        <w:t>Funciones: Tramitación de expedientes de contratación.</w:t>
      </w:r>
    </w:p>
    <w:p>
      <w:pPr>
        <w:pStyle w:val="BodyText"/>
        <w:spacing w:before="8"/>
        <w:rPr>
          <w:sz w:val="27"/>
        </w:rPr>
      </w:pPr>
    </w:p>
    <w:p>
      <w:pPr>
        <w:pStyle w:val="BodyText"/>
        <w:ind w:left="402"/>
      </w:pPr>
      <w:r>
        <w:rPr/>
        <w:t>X.- UNIDAD DE POLICÍA LOCAL Y SEGURIDAD CIUDADANA.</w:t>
      </w:r>
    </w:p>
    <w:p>
      <w:pPr>
        <w:pStyle w:val="BodyText"/>
        <w:spacing w:line="259" w:lineRule="auto" w:before="24"/>
        <w:ind w:left="402" w:right="258"/>
        <w:jc w:val="both"/>
      </w:pPr>
      <w:r>
        <w:rPr/>
        <w:t>Funciones: Las atribuidas por la Ley Orgánica 2/1986, de 13 de marzo, de Fuerzas y Cuerpos de Seguridad, la Ley 6/1997, de 4 de julio, de Coordinación de Policías</w:t>
      </w:r>
      <w:r>
        <w:rPr>
          <w:spacing w:val="-21"/>
        </w:rPr>
        <w:t> </w:t>
      </w:r>
      <w:r>
        <w:rPr/>
        <w:t>Locales de</w:t>
      </w:r>
      <w:r>
        <w:rPr>
          <w:spacing w:val="-18"/>
        </w:rPr>
        <w:t> </w:t>
      </w:r>
      <w:r>
        <w:rPr/>
        <w:t>Canarias,</w:t>
      </w:r>
      <w:r>
        <w:rPr>
          <w:spacing w:val="-16"/>
        </w:rPr>
        <w:t> </w:t>
      </w:r>
      <w:r>
        <w:rPr/>
        <w:t>y</w:t>
      </w:r>
      <w:r>
        <w:rPr>
          <w:spacing w:val="-16"/>
        </w:rPr>
        <w:t> </w:t>
      </w:r>
      <w:r>
        <w:rPr/>
        <w:t>resto</w:t>
      </w:r>
      <w:r>
        <w:rPr>
          <w:spacing w:val="-15"/>
        </w:rPr>
        <w:t> </w:t>
      </w:r>
      <w:r>
        <w:rPr/>
        <w:t>de</w:t>
      </w:r>
      <w:r>
        <w:rPr>
          <w:spacing w:val="-17"/>
        </w:rPr>
        <w:t> </w:t>
      </w:r>
      <w:r>
        <w:rPr/>
        <w:t>normativa</w:t>
      </w:r>
      <w:r>
        <w:rPr>
          <w:spacing w:val="-17"/>
        </w:rPr>
        <w:t> </w:t>
      </w:r>
      <w:r>
        <w:rPr/>
        <w:t>de</w:t>
      </w:r>
      <w:r>
        <w:rPr>
          <w:spacing w:val="-14"/>
        </w:rPr>
        <w:t> </w:t>
      </w:r>
      <w:r>
        <w:rPr/>
        <w:t>aplicación.</w:t>
      </w:r>
      <w:r>
        <w:rPr>
          <w:spacing w:val="-13"/>
        </w:rPr>
        <w:t> </w:t>
      </w:r>
      <w:r>
        <w:rPr/>
        <w:t>Las</w:t>
      </w:r>
      <w:r>
        <w:rPr>
          <w:spacing w:val="-16"/>
        </w:rPr>
        <w:t> </w:t>
      </w:r>
      <w:r>
        <w:rPr/>
        <w:t>atribuidas</w:t>
      </w:r>
      <w:r>
        <w:rPr>
          <w:spacing w:val="-17"/>
        </w:rPr>
        <w:t> </w:t>
      </w:r>
      <w:r>
        <w:rPr/>
        <w:t>por</w:t>
      </w:r>
      <w:r>
        <w:rPr>
          <w:spacing w:val="-17"/>
        </w:rPr>
        <w:t> </w:t>
      </w:r>
      <w:r>
        <w:rPr/>
        <w:t>otras</w:t>
      </w:r>
      <w:r>
        <w:rPr>
          <w:spacing w:val="-12"/>
        </w:rPr>
        <w:t> </w:t>
      </w:r>
      <w:r>
        <w:rPr/>
        <w:t>administraciones, protección civil, tramitación de expedientes sancionadores de</w:t>
      </w:r>
      <w:r>
        <w:rPr>
          <w:spacing w:val="-6"/>
        </w:rPr>
        <w:t> </w:t>
      </w:r>
      <w:r>
        <w:rPr/>
        <w:t>tráfico.</w:t>
      </w:r>
    </w:p>
    <w:p>
      <w:pPr>
        <w:pStyle w:val="BodyText"/>
        <w:spacing w:before="9"/>
        <w:rPr>
          <w:sz w:val="25"/>
        </w:rPr>
      </w:pPr>
    </w:p>
    <w:p>
      <w:pPr>
        <w:pStyle w:val="BodyText"/>
        <w:ind w:left="402"/>
      </w:pPr>
      <w:r>
        <w:rPr/>
        <w:t>XI.- UNIDAD DE FOMENTO Y SERVICIOS A LA CIUDADANÍA.</w:t>
      </w:r>
    </w:p>
    <w:p>
      <w:pPr>
        <w:pStyle w:val="BodyText"/>
        <w:spacing w:line="259" w:lineRule="auto" w:before="22"/>
        <w:ind w:left="402" w:right="260"/>
        <w:jc w:val="both"/>
      </w:pPr>
      <w:r>
        <w:rPr/>
        <w:t>Funciones: Servicios sociales, cultura, deportes, turismo, medio ambiente, basura y limpieza, alumbrado público, mantenimiento de vías públicas, abastecimiento y saneamiento, transporte discrecional de viajeros y movilidad. Bienestar animal.</w:t>
      </w:r>
    </w:p>
    <w:p>
      <w:pPr>
        <w:pStyle w:val="BodyText"/>
        <w:spacing w:before="11"/>
        <w:rPr>
          <w:sz w:val="25"/>
        </w:rPr>
      </w:pPr>
    </w:p>
    <w:p>
      <w:pPr>
        <w:spacing w:before="0"/>
        <w:ind w:left="402" w:right="0" w:firstLine="0"/>
        <w:jc w:val="both"/>
        <w:rPr>
          <w:i/>
          <w:sz w:val="24"/>
        </w:rPr>
      </w:pPr>
      <w:r>
        <w:rPr>
          <w:i/>
          <w:sz w:val="24"/>
        </w:rPr>
        <w:t>(Aprobado por Decreto número: ALC/2024/441 de fecha 21 de mayo de 2024)</w:t>
      </w:r>
    </w:p>
    <w:p>
      <w:pPr>
        <w:spacing w:after="0"/>
        <w:jc w:val="both"/>
        <w:rPr>
          <w:sz w:val="24"/>
        </w:rPr>
        <w:sectPr>
          <w:pgSz w:w="11910" w:h="16840"/>
          <w:pgMar w:header="1217" w:footer="0" w:top="2740" w:bottom="280" w:left="1300" w:right="1440"/>
        </w:sectPr>
      </w:pPr>
    </w:p>
    <w:p>
      <w:pPr>
        <w:pStyle w:val="BodyText"/>
        <w:rPr>
          <w:i/>
          <w:sz w:val="20"/>
        </w:rPr>
      </w:pPr>
    </w:p>
    <w:p>
      <w:pPr>
        <w:pStyle w:val="BodyText"/>
        <w:spacing w:before="7"/>
        <w:rPr>
          <w:i/>
          <w:sz w:val="19"/>
        </w:rPr>
      </w:pPr>
    </w:p>
    <w:p>
      <w:pPr>
        <w:pStyle w:val="Heading1"/>
        <w:spacing w:line="259" w:lineRule="auto"/>
        <w:rPr>
          <w:u w:val="none"/>
        </w:rPr>
      </w:pPr>
      <w:r>
        <w:rPr>
          <w:u w:val="thick"/>
        </w:rPr>
        <w:t>TERCERA PARTE SERVICIOS DE LA COMPETENCIA</w:t>
      </w:r>
      <w:r>
        <w:rPr>
          <w:u w:val="none"/>
        </w:rPr>
        <w:t> </w:t>
      </w:r>
      <w:r>
        <w:rPr>
          <w:u w:val="thick"/>
        </w:rPr>
        <w:t>MUNICIPAL.</w:t>
      </w:r>
    </w:p>
    <w:p>
      <w:pPr>
        <w:pStyle w:val="BodyText"/>
        <w:rPr>
          <w:b/>
          <w:sz w:val="20"/>
        </w:rPr>
      </w:pPr>
    </w:p>
    <w:p>
      <w:pPr>
        <w:pStyle w:val="BodyText"/>
        <w:rPr>
          <w:b/>
        </w:rPr>
      </w:pPr>
    </w:p>
    <w:p>
      <w:pPr>
        <w:pStyle w:val="BodyText"/>
        <w:spacing w:line="259" w:lineRule="auto" w:before="90"/>
        <w:ind w:left="402"/>
      </w:pPr>
      <w:r>
        <w:rPr/>
        <w:t>Los</w:t>
      </w:r>
      <w:r>
        <w:rPr>
          <w:spacing w:val="-14"/>
        </w:rPr>
        <w:t> </w:t>
      </w:r>
      <w:r>
        <w:rPr/>
        <w:t>datos</w:t>
      </w:r>
      <w:r>
        <w:rPr>
          <w:spacing w:val="-14"/>
        </w:rPr>
        <w:t> </w:t>
      </w:r>
      <w:r>
        <w:rPr/>
        <w:t>reflejados</w:t>
      </w:r>
      <w:r>
        <w:rPr>
          <w:spacing w:val="-15"/>
        </w:rPr>
        <w:t> </w:t>
      </w:r>
      <w:r>
        <w:rPr/>
        <w:t>son</w:t>
      </w:r>
      <w:r>
        <w:rPr>
          <w:spacing w:val="-13"/>
        </w:rPr>
        <w:t> </w:t>
      </w:r>
      <w:r>
        <w:rPr/>
        <w:t>datos</w:t>
      </w:r>
      <w:r>
        <w:rPr>
          <w:spacing w:val="-14"/>
        </w:rPr>
        <w:t> </w:t>
      </w:r>
      <w:r>
        <w:rPr/>
        <w:t>extraídos,</w:t>
      </w:r>
      <w:r>
        <w:rPr>
          <w:spacing w:val="-14"/>
        </w:rPr>
        <w:t> </w:t>
      </w:r>
      <w:r>
        <w:rPr/>
        <w:t>íntegros</w:t>
      </w:r>
      <w:r>
        <w:rPr>
          <w:spacing w:val="-14"/>
        </w:rPr>
        <w:t> </w:t>
      </w:r>
      <w:r>
        <w:rPr/>
        <w:t>o</w:t>
      </w:r>
      <w:r>
        <w:rPr>
          <w:spacing w:val="-17"/>
        </w:rPr>
        <w:t> </w:t>
      </w:r>
      <w:r>
        <w:rPr/>
        <w:t>en</w:t>
      </w:r>
      <w:r>
        <w:rPr>
          <w:spacing w:val="-14"/>
        </w:rPr>
        <w:t> </w:t>
      </w:r>
      <w:r>
        <w:rPr/>
        <w:t>extracto,</w:t>
      </w:r>
      <w:r>
        <w:rPr>
          <w:spacing w:val="-13"/>
        </w:rPr>
        <w:t> </w:t>
      </w:r>
      <w:r>
        <w:rPr/>
        <w:t>de</w:t>
      </w:r>
      <w:r>
        <w:rPr>
          <w:spacing w:val="-15"/>
        </w:rPr>
        <w:t> </w:t>
      </w:r>
      <w:r>
        <w:rPr/>
        <w:t>los</w:t>
      </w:r>
      <w:r>
        <w:rPr>
          <w:spacing w:val="-14"/>
        </w:rPr>
        <w:t> </w:t>
      </w:r>
      <w:r>
        <w:rPr/>
        <w:t>datos</w:t>
      </w:r>
      <w:r>
        <w:rPr>
          <w:spacing w:val="-14"/>
        </w:rPr>
        <w:t> </w:t>
      </w:r>
      <w:r>
        <w:rPr/>
        <w:t>suministrados por las distintas unidades</w:t>
      </w:r>
      <w:r>
        <w:rPr>
          <w:spacing w:val="-3"/>
        </w:rPr>
        <w:t> </w:t>
      </w:r>
      <w:r>
        <w:rPr/>
        <w:t>administrativas.</w:t>
      </w:r>
    </w:p>
    <w:p>
      <w:pPr>
        <w:pStyle w:val="BodyText"/>
        <w:rPr>
          <w:sz w:val="26"/>
        </w:rPr>
      </w:pPr>
    </w:p>
    <w:p>
      <w:pPr>
        <w:pStyle w:val="Heading4"/>
        <w:spacing w:before="159"/>
      </w:pPr>
      <w:r>
        <w:rPr/>
        <w:t>1.- ALCALDÍA.</w:t>
      </w:r>
    </w:p>
    <w:p>
      <w:pPr>
        <w:pStyle w:val="BodyText"/>
        <w:rPr>
          <w:b/>
          <w:sz w:val="26"/>
        </w:rPr>
      </w:pPr>
    </w:p>
    <w:p>
      <w:pPr>
        <w:pStyle w:val="BodyText"/>
        <w:spacing w:before="6"/>
        <w:rPr>
          <w:b/>
          <w:sz w:val="29"/>
        </w:rPr>
      </w:pPr>
    </w:p>
    <w:p>
      <w:pPr>
        <w:pStyle w:val="ListParagraph"/>
        <w:numPr>
          <w:ilvl w:val="0"/>
          <w:numId w:val="3"/>
        </w:numPr>
        <w:tabs>
          <w:tab w:pos="1122" w:val="left" w:leader="none"/>
        </w:tabs>
        <w:spacing w:line="240" w:lineRule="auto" w:before="1" w:after="0"/>
        <w:ind w:left="1122" w:right="0" w:hanging="361"/>
        <w:jc w:val="left"/>
        <w:rPr>
          <w:rFonts w:ascii="Arial" w:hAnsi="Arial"/>
          <w:b/>
          <w:sz w:val="22"/>
        </w:rPr>
      </w:pPr>
      <w:r>
        <w:rPr>
          <w:rFonts w:ascii="Arial" w:hAnsi="Arial"/>
          <w:b/>
          <w:sz w:val="22"/>
        </w:rPr>
        <w:t>Estadísticas de gestión de</w:t>
      </w:r>
      <w:r>
        <w:rPr>
          <w:rFonts w:ascii="Arial" w:hAnsi="Arial"/>
          <w:b/>
          <w:spacing w:val="-6"/>
          <w:sz w:val="22"/>
        </w:rPr>
        <w:t> </w:t>
      </w:r>
      <w:r>
        <w:rPr>
          <w:rFonts w:ascii="Arial" w:hAnsi="Arial"/>
          <w:b/>
          <w:sz w:val="22"/>
        </w:rPr>
        <w:t>expedientes:</w:t>
      </w:r>
    </w:p>
    <w:p>
      <w:pPr>
        <w:pStyle w:val="BodyText"/>
        <w:spacing w:before="2"/>
        <w:rPr>
          <w:rFonts w:ascii="Arial"/>
          <w:b/>
          <w:sz w:val="27"/>
        </w:rPr>
      </w:pPr>
    </w:p>
    <w:p>
      <w:pPr>
        <w:pStyle w:val="ListParagraph"/>
        <w:numPr>
          <w:ilvl w:val="0"/>
          <w:numId w:val="4"/>
        </w:numPr>
        <w:tabs>
          <w:tab w:pos="1121" w:val="left" w:leader="none"/>
          <w:tab w:pos="1122" w:val="left" w:leader="none"/>
        </w:tabs>
        <w:spacing w:line="240" w:lineRule="auto" w:before="1" w:after="0"/>
        <w:ind w:left="1122" w:right="0" w:hanging="361"/>
        <w:jc w:val="left"/>
        <w:rPr>
          <w:rFonts w:ascii="Arial" w:hAnsi="Arial"/>
          <w:sz w:val="22"/>
        </w:rPr>
      </w:pPr>
      <w:r>
        <w:rPr>
          <w:rFonts w:ascii="Arial" w:hAnsi="Arial"/>
          <w:sz w:val="22"/>
          <w:u w:val="single"/>
        </w:rPr>
        <w:t>Alcaldía:</w:t>
      </w:r>
      <w:r>
        <w:rPr>
          <w:rFonts w:ascii="Arial" w:hAnsi="Arial"/>
          <w:sz w:val="22"/>
        </w:rPr>
        <w:t> 165 expedientes tramitados, de los cuales 1 ha sido</w:t>
      </w:r>
      <w:r>
        <w:rPr>
          <w:rFonts w:ascii="Arial" w:hAnsi="Arial"/>
          <w:spacing w:val="-18"/>
          <w:sz w:val="22"/>
        </w:rPr>
        <w:t> </w:t>
      </w:r>
      <w:r>
        <w:rPr>
          <w:rFonts w:ascii="Arial" w:hAnsi="Arial"/>
          <w:sz w:val="22"/>
        </w:rPr>
        <w:t>finalizado.</w:t>
      </w:r>
    </w:p>
    <w:p>
      <w:pPr>
        <w:pStyle w:val="ListParagraph"/>
        <w:numPr>
          <w:ilvl w:val="0"/>
          <w:numId w:val="4"/>
        </w:numPr>
        <w:tabs>
          <w:tab w:pos="1121" w:val="left" w:leader="none"/>
          <w:tab w:pos="1122" w:val="left" w:leader="none"/>
        </w:tabs>
        <w:spacing w:line="278" w:lineRule="auto" w:before="39" w:after="0"/>
        <w:ind w:left="1121" w:right="258" w:hanging="360"/>
        <w:jc w:val="left"/>
        <w:rPr>
          <w:rFonts w:ascii="Arial" w:hAnsi="Arial"/>
          <w:sz w:val="22"/>
        </w:rPr>
      </w:pPr>
      <w:r>
        <w:rPr>
          <w:rFonts w:ascii="Arial" w:hAnsi="Arial"/>
          <w:sz w:val="22"/>
          <w:u w:val="single"/>
        </w:rPr>
        <w:t>Responsabilidad patrimonial</w:t>
      </w:r>
      <w:r>
        <w:rPr>
          <w:rFonts w:ascii="Arial" w:hAnsi="Arial"/>
          <w:sz w:val="22"/>
        </w:rPr>
        <w:t>: 10 expedientes tramitados, sin expedientes finalizados hasta la</w:t>
      </w:r>
      <w:r>
        <w:rPr>
          <w:rFonts w:ascii="Arial" w:hAnsi="Arial"/>
          <w:spacing w:val="-3"/>
          <w:sz w:val="22"/>
        </w:rPr>
        <w:t> </w:t>
      </w:r>
      <w:r>
        <w:rPr>
          <w:rFonts w:ascii="Arial" w:hAnsi="Arial"/>
          <w:sz w:val="22"/>
        </w:rPr>
        <w:t>fecha.</w:t>
      </w:r>
    </w:p>
    <w:p>
      <w:pPr>
        <w:pStyle w:val="ListParagraph"/>
        <w:numPr>
          <w:ilvl w:val="0"/>
          <w:numId w:val="4"/>
        </w:numPr>
        <w:tabs>
          <w:tab w:pos="1121" w:val="left" w:leader="none"/>
          <w:tab w:pos="1122" w:val="left" w:leader="none"/>
        </w:tabs>
        <w:spacing w:line="240" w:lineRule="auto" w:before="1" w:after="0"/>
        <w:ind w:left="1122" w:right="0" w:hanging="361"/>
        <w:jc w:val="left"/>
        <w:rPr>
          <w:rFonts w:ascii="Arial" w:hAnsi="Arial"/>
          <w:sz w:val="22"/>
        </w:rPr>
      </w:pPr>
      <w:r>
        <w:rPr>
          <w:rFonts w:ascii="Arial" w:hAnsi="Arial"/>
          <w:sz w:val="22"/>
          <w:u w:val="single"/>
        </w:rPr>
        <w:t>Transportes</w:t>
      </w:r>
      <w:r>
        <w:rPr>
          <w:rFonts w:ascii="Arial" w:hAnsi="Arial"/>
          <w:sz w:val="22"/>
        </w:rPr>
        <w:t>: 156 expedientes tramitados, de los cuales 4 han sido</w:t>
      </w:r>
      <w:r>
        <w:rPr>
          <w:rFonts w:ascii="Arial" w:hAnsi="Arial"/>
          <w:spacing w:val="-27"/>
          <w:sz w:val="22"/>
        </w:rPr>
        <w:t> </w:t>
      </w:r>
      <w:r>
        <w:rPr>
          <w:rFonts w:ascii="Arial" w:hAnsi="Arial"/>
          <w:sz w:val="22"/>
        </w:rPr>
        <w:t>finalizados.</w:t>
      </w:r>
    </w:p>
    <w:p>
      <w:pPr>
        <w:pStyle w:val="BodyText"/>
        <w:spacing w:before="2"/>
        <w:rPr>
          <w:rFonts w:ascii="Arial"/>
          <w:sz w:val="19"/>
        </w:rPr>
      </w:pPr>
    </w:p>
    <w:p>
      <w:pPr>
        <w:pStyle w:val="ListParagraph"/>
        <w:numPr>
          <w:ilvl w:val="0"/>
          <w:numId w:val="3"/>
        </w:numPr>
        <w:tabs>
          <w:tab w:pos="1122" w:val="left" w:leader="none"/>
        </w:tabs>
        <w:spacing w:line="240" w:lineRule="auto" w:before="93" w:after="0"/>
        <w:ind w:left="1122" w:right="0" w:hanging="361"/>
        <w:jc w:val="left"/>
        <w:rPr>
          <w:rFonts w:ascii="Arial"/>
          <w:b/>
          <w:sz w:val="22"/>
        </w:rPr>
      </w:pPr>
      <w:r>
        <w:rPr>
          <w:rFonts w:ascii="Arial"/>
          <w:b/>
          <w:sz w:val="22"/>
        </w:rPr>
        <w:t>Iniciativas</w:t>
      </w:r>
      <w:r>
        <w:rPr>
          <w:rFonts w:ascii="Arial"/>
          <w:b/>
          <w:spacing w:val="-1"/>
          <w:sz w:val="22"/>
        </w:rPr>
        <w:t> </w:t>
      </w:r>
      <w:r>
        <w:rPr>
          <w:rFonts w:ascii="Arial"/>
          <w:b/>
          <w:sz w:val="22"/>
        </w:rPr>
        <w:t>desarrolladas</w:t>
      </w:r>
    </w:p>
    <w:p>
      <w:pPr>
        <w:spacing w:line="256" w:lineRule="auto" w:before="201"/>
        <w:ind w:left="402" w:right="263" w:firstLine="0"/>
        <w:jc w:val="left"/>
        <w:rPr>
          <w:rFonts w:ascii="Arial" w:hAnsi="Arial"/>
          <w:sz w:val="22"/>
        </w:rPr>
      </w:pPr>
      <w:r>
        <w:rPr>
          <w:rFonts w:ascii="Arial" w:hAnsi="Arial"/>
          <w:sz w:val="22"/>
        </w:rPr>
        <w:t>En el ámbito de transportes, se han elaborado cuatro modelos normalizados de instancias destinados a:</w:t>
      </w:r>
    </w:p>
    <w:p>
      <w:pPr>
        <w:pStyle w:val="ListParagraph"/>
        <w:numPr>
          <w:ilvl w:val="0"/>
          <w:numId w:val="4"/>
        </w:numPr>
        <w:tabs>
          <w:tab w:pos="1121" w:val="left" w:leader="none"/>
          <w:tab w:pos="1122" w:val="left" w:leader="none"/>
        </w:tabs>
        <w:spacing w:line="240" w:lineRule="auto" w:before="162" w:after="0"/>
        <w:ind w:left="1122" w:right="0" w:hanging="361"/>
        <w:jc w:val="left"/>
        <w:rPr>
          <w:rFonts w:ascii="Arial" w:hAnsi="Arial"/>
          <w:sz w:val="22"/>
        </w:rPr>
      </w:pPr>
      <w:r>
        <w:rPr>
          <w:rFonts w:ascii="Arial" w:hAnsi="Arial"/>
          <w:sz w:val="22"/>
        </w:rPr>
        <w:t>Sustitución de</w:t>
      </w:r>
      <w:r>
        <w:rPr>
          <w:rFonts w:ascii="Arial" w:hAnsi="Arial"/>
          <w:spacing w:val="-3"/>
          <w:sz w:val="22"/>
        </w:rPr>
        <w:t> </w:t>
      </w:r>
      <w:r>
        <w:rPr>
          <w:rFonts w:ascii="Arial" w:hAnsi="Arial"/>
          <w:sz w:val="22"/>
        </w:rPr>
        <w:t>vehículos.</w:t>
      </w:r>
    </w:p>
    <w:p>
      <w:pPr>
        <w:pStyle w:val="ListParagraph"/>
        <w:numPr>
          <w:ilvl w:val="0"/>
          <w:numId w:val="4"/>
        </w:numPr>
        <w:tabs>
          <w:tab w:pos="1121" w:val="left" w:leader="none"/>
          <w:tab w:pos="1122" w:val="left" w:leader="none"/>
        </w:tabs>
        <w:spacing w:line="240" w:lineRule="auto" w:before="40" w:after="0"/>
        <w:ind w:left="1122" w:right="0" w:hanging="361"/>
        <w:jc w:val="left"/>
        <w:rPr>
          <w:rFonts w:ascii="Arial" w:hAnsi="Arial"/>
          <w:sz w:val="22"/>
        </w:rPr>
      </w:pPr>
      <w:r>
        <w:rPr>
          <w:rFonts w:ascii="Arial" w:hAnsi="Arial"/>
          <w:sz w:val="22"/>
        </w:rPr>
        <w:t>Transmisiones inter</w:t>
      </w:r>
      <w:r>
        <w:rPr>
          <w:rFonts w:ascii="Arial" w:hAnsi="Arial"/>
          <w:spacing w:val="-2"/>
          <w:sz w:val="22"/>
        </w:rPr>
        <w:t> </w:t>
      </w:r>
      <w:r>
        <w:rPr>
          <w:rFonts w:ascii="Arial" w:hAnsi="Arial"/>
          <w:sz w:val="22"/>
        </w:rPr>
        <w:t>vivos.</w:t>
      </w:r>
    </w:p>
    <w:p>
      <w:pPr>
        <w:pStyle w:val="ListParagraph"/>
        <w:numPr>
          <w:ilvl w:val="0"/>
          <w:numId w:val="4"/>
        </w:numPr>
        <w:tabs>
          <w:tab w:pos="1121" w:val="left" w:leader="none"/>
          <w:tab w:pos="1122" w:val="left" w:leader="none"/>
        </w:tabs>
        <w:spacing w:line="240" w:lineRule="auto" w:before="42" w:after="0"/>
        <w:ind w:left="1122" w:right="0" w:hanging="361"/>
        <w:jc w:val="left"/>
        <w:rPr>
          <w:rFonts w:ascii="Arial" w:hAnsi="Arial"/>
          <w:sz w:val="22"/>
        </w:rPr>
      </w:pPr>
      <w:r>
        <w:rPr>
          <w:rFonts w:ascii="Arial" w:hAnsi="Arial"/>
          <w:sz w:val="22"/>
        </w:rPr>
        <w:t>Transmisiones mortis</w:t>
      </w:r>
      <w:r>
        <w:rPr>
          <w:rFonts w:ascii="Arial" w:hAnsi="Arial"/>
          <w:spacing w:val="-5"/>
          <w:sz w:val="22"/>
        </w:rPr>
        <w:t> </w:t>
      </w:r>
      <w:r>
        <w:rPr>
          <w:rFonts w:ascii="Arial" w:hAnsi="Arial"/>
          <w:sz w:val="22"/>
        </w:rPr>
        <w:t>causa.</w:t>
      </w:r>
    </w:p>
    <w:p>
      <w:pPr>
        <w:pStyle w:val="ListParagraph"/>
        <w:numPr>
          <w:ilvl w:val="0"/>
          <w:numId w:val="4"/>
        </w:numPr>
        <w:tabs>
          <w:tab w:pos="1121" w:val="left" w:leader="none"/>
          <w:tab w:pos="1122" w:val="left" w:leader="none"/>
        </w:tabs>
        <w:spacing w:line="240" w:lineRule="auto" w:before="40" w:after="0"/>
        <w:ind w:left="1122" w:right="0" w:hanging="361"/>
        <w:jc w:val="left"/>
        <w:rPr>
          <w:rFonts w:ascii="Arial" w:hAnsi="Arial"/>
          <w:sz w:val="22"/>
        </w:rPr>
      </w:pPr>
      <w:r>
        <w:rPr>
          <w:rFonts w:ascii="Arial" w:hAnsi="Arial"/>
          <w:sz w:val="22"/>
        </w:rPr>
        <w:t>Solicitudes del carné de</w:t>
      </w:r>
      <w:r>
        <w:rPr>
          <w:rFonts w:ascii="Arial" w:hAnsi="Arial"/>
          <w:spacing w:val="-5"/>
          <w:sz w:val="22"/>
        </w:rPr>
        <w:t> </w:t>
      </w:r>
      <w:r>
        <w:rPr>
          <w:rFonts w:ascii="Arial" w:hAnsi="Arial"/>
          <w:sz w:val="22"/>
        </w:rPr>
        <w:t>taxista.</w:t>
      </w:r>
    </w:p>
    <w:p>
      <w:pPr>
        <w:spacing w:before="40"/>
        <w:ind w:left="761" w:right="0" w:firstLine="0"/>
        <w:jc w:val="left"/>
        <w:rPr>
          <w:rFonts w:ascii="Arial"/>
          <w:sz w:val="22"/>
        </w:rPr>
      </w:pPr>
      <w:r>
        <w:rPr>
          <w:rFonts w:ascii="Arial"/>
          <w:w w:val="100"/>
          <w:sz w:val="22"/>
        </w:rPr>
        <w:t>-</w:t>
      </w:r>
    </w:p>
    <w:p>
      <w:pPr>
        <w:pStyle w:val="ListParagraph"/>
        <w:numPr>
          <w:ilvl w:val="0"/>
          <w:numId w:val="3"/>
        </w:numPr>
        <w:tabs>
          <w:tab w:pos="1122" w:val="left" w:leader="none"/>
        </w:tabs>
        <w:spacing w:line="240" w:lineRule="auto" w:before="40" w:after="0"/>
        <w:ind w:left="1122" w:right="0" w:hanging="361"/>
        <w:jc w:val="left"/>
        <w:rPr>
          <w:rFonts w:ascii="Arial" w:hAnsi="Arial"/>
          <w:b/>
          <w:sz w:val="22"/>
        </w:rPr>
      </w:pPr>
      <w:r>
        <w:rPr>
          <w:rFonts w:ascii="Arial" w:hAnsi="Arial"/>
          <w:b/>
          <w:sz w:val="22"/>
        </w:rPr>
        <w:t>Proyectos en</w:t>
      </w:r>
      <w:r>
        <w:rPr>
          <w:rFonts w:ascii="Arial" w:hAnsi="Arial"/>
          <w:b/>
          <w:spacing w:val="-3"/>
          <w:sz w:val="22"/>
        </w:rPr>
        <w:t> </w:t>
      </w:r>
      <w:r>
        <w:rPr>
          <w:rFonts w:ascii="Arial" w:hAnsi="Arial"/>
          <w:b/>
          <w:sz w:val="22"/>
        </w:rPr>
        <w:t>tramitación</w:t>
      </w:r>
    </w:p>
    <w:p>
      <w:pPr>
        <w:pStyle w:val="BodyText"/>
        <w:spacing w:before="3"/>
        <w:rPr>
          <w:rFonts w:ascii="Arial"/>
          <w:b/>
          <w:sz w:val="27"/>
        </w:rPr>
      </w:pPr>
    </w:p>
    <w:p>
      <w:pPr>
        <w:pStyle w:val="ListParagraph"/>
        <w:numPr>
          <w:ilvl w:val="0"/>
          <w:numId w:val="4"/>
        </w:numPr>
        <w:tabs>
          <w:tab w:pos="1121" w:val="left" w:leader="none"/>
          <w:tab w:pos="1122" w:val="left" w:leader="none"/>
        </w:tabs>
        <w:spacing w:line="278" w:lineRule="auto" w:before="0" w:after="0"/>
        <w:ind w:left="1121" w:right="257" w:hanging="360"/>
        <w:jc w:val="left"/>
        <w:rPr>
          <w:rFonts w:ascii="Arial" w:hAnsi="Arial"/>
          <w:sz w:val="22"/>
        </w:rPr>
      </w:pPr>
      <w:r>
        <w:rPr>
          <w:rFonts w:ascii="Arial" w:hAnsi="Arial"/>
          <w:sz w:val="22"/>
        </w:rPr>
        <w:t>Se</w:t>
      </w:r>
      <w:r>
        <w:rPr>
          <w:rFonts w:ascii="Arial" w:hAnsi="Arial"/>
          <w:spacing w:val="-5"/>
          <w:sz w:val="22"/>
        </w:rPr>
        <w:t> </w:t>
      </w:r>
      <w:r>
        <w:rPr>
          <w:rFonts w:ascii="Arial" w:hAnsi="Arial"/>
          <w:sz w:val="22"/>
        </w:rPr>
        <w:t>está</w:t>
      </w:r>
      <w:r>
        <w:rPr>
          <w:rFonts w:ascii="Arial" w:hAnsi="Arial"/>
          <w:spacing w:val="-6"/>
          <w:sz w:val="22"/>
        </w:rPr>
        <w:t> </w:t>
      </w:r>
      <w:r>
        <w:rPr>
          <w:rFonts w:ascii="Arial" w:hAnsi="Arial"/>
          <w:sz w:val="22"/>
        </w:rPr>
        <w:t>llevando</w:t>
      </w:r>
      <w:r>
        <w:rPr>
          <w:rFonts w:ascii="Arial" w:hAnsi="Arial"/>
          <w:spacing w:val="-5"/>
          <w:sz w:val="22"/>
        </w:rPr>
        <w:t> </w:t>
      </w:r>
      <w:r>
        <w:rPr>
          <w:rFonts w:ascii="Arial" w:hAnsi="Arial"/>
          <w:sz w:val="22"/>
        </w:rPr>
        <w:t>a</w:t>
      </w:r>
      <w:r>
        <w:rPr>
          <w:rFonts w:ascii="Arial" w:hAnsi="Arial"/>
          <w:spacing w:val="-4"/>
          <w:sz w:val="22"/>
        </w:rPr>
        <w:t> </w:t>
      </w:r>
      <w:r>
        <w:rPr>
          <w:rFonts w:ascii="Arial" w:hAnsi="Arial"/>
          <w:sz w:val="22"/>
        </w:rPr>
        <w:t>cabo</w:t>
      </w:r>
      <w:r>
        <w:rPr>
          <w:rFonts w:ascii="Arial" w:hAnsi="Arial"/>
          <w:spacing w:val="-7"/>
          <w:sz w:val="22"/>
        </w:rPr>
        <w:t> </w:t>
      </w:r>
      <w:r>
        <w:rPr>
          <w:rFonts w:ascii="Arial" w:hAnsi="Arial"/>
          <w:sz w:val="22"/>
        </w:rPr>
        <w:t>la</w:t>
      </w:r>
      <w:r>
        <w:rPr>
          <w:rFonts w:ascii="Arial" w:hAnsi="Arial"/>
          <w:spacing w:val="-4"/>
          <w:sz w:val="22"/>
        </w:rPr>
        <w:t> </w:t>
      </w:r>
      <w:r>
        <w:rPr>
          <w:rFonts w:ascii="Arial" w:hAnsi="Arial"/>
          <w:sz w:val="22"/>
        </w:rPr>
        <w:t>revisión</w:t>
      </w:r>
      <w:r>
        <w:rPr>
          <w:rFonts w:ascii="Arial" w:hAnsi="Arial"/>
          <w:spacing w:val="-5"/>
          <w:sz w:val="22"/>
        </w:rPr>
        <w:t> </w:t>
      </w:r>
      <w:r>
        <w:rPr>
          <w:rFonts w:ascii="Arial" w:hAnsi="Arial"/>
          <w:sz w:val="22"/>
        </w:rPr>
        <w:t>anual</w:t>
      </w:r>
      <w:r>
        <w:rPr>
          <w:rFonts w:ascii="Arial" w:hAnsi="Arial"/>
          <w:spacing w:val="-5"/>
          <w:sz w:val="22"/>
        </w:rPr>
        <w:t> </w:t>
      </w:r>
      <w:r>
        <w:rPr>
          <w:rFonts w:ascii="Arial" w:hAnsi="Arial"/>
          <w:sz w:val="22"/>
        </w:rPr>
        <w:t>de</w:t>
      </w:r>
      <w:r>
        <w:rPr>
          <w:rFonts w:ascii="Arial" w:hAnsi="Arial"/>
          <w:spacing w:val="-7"/>
          <w:sz w:val="22"/>
        </w:rPr>
        <w:t> </w:t>
      </w:r>
      <w:r>
        <w:rPr>
          <w:rFonts w:ascii="Arial" w:hAnsi="Arial"/>
          <w:sz w:val="22"/>
        </w:rPr>
        <w:t>los</w:t>
      </w:r>
      <w:r>
        <w:rPr>
          <w:rFonts w:ascii="Arial" w:hAnsi="Arial"/>
          <w:spacing w:val="-5"/>
          <w:sz w:val="22"/>
        </w:rPr>
        <w:t> </w:t>
      </w:r>
      <w:r>
        <w:rPr>
          <w:rFonts w:ascii="Arial" w:hAnsi="Arial"/>
          <w:sz w:val="22"/>
        </w:rPr>
        <w:t>vehículos</w:t>
      </w:r>
      <w:r>
        <w:rPr>
          <w:rFonts w:ascii="Arial" w:hAnsi="Arial"/>
          <w:spacing w:val="-4"/>
          <w:sz w:val="22"/>
        </w:rPr>
        <w:t> </w:t>
      </w:r>
      <w:r>
        <w:rPr>
          <w:rFonts w:ascii="Arial" w:hAnsi="Arial"/>
          <w:sz w:val="22"/>
        </w:rPr>
        <w:t>de</w:t>
      </w:r>
      <w:r>
        <w:rPr>
          <w:rFonts w:ascii="Arial" w:hAnsi="Arial"/>
          <w:spacing w:val="-8"/>
          <w:sz w:val="22"/>
        </w:rPr>
        <w:t> </w:t>
      </w:r>
      <w:r>
        <w:rPr>
          <w:rFonts w:ascii="Arial" w:hAnsi="Arial"/>
          <w:sz w:val="22"/>
        </w:rPr>
        <w:t>autotaxi,</w:t>
      </w:r>
      <w:r>
        <w:rPr>
          <w:rFonts w:ascii="Arial" w:hAnsi="Arial"/>
          <w:spacing w:val="-5"/>
          <w:sz w:val="22"/>
        </w:rPr>
        <w:t> </w:t>
      </w:r>
      <w:r>
        <w:rPr>
          <w:rFonts w:ascii="Arial" w:hAnsi="Arial"/>
          <w:sz w:val="22"/>
        </w:rPr>
        <w:t>conforme a lo previsto en la Ordenanza municipal</w:t>
      </w:r>
      <w:r>
        <w:rPr>
          <w:rFonts w:ascii="Arial" w:hAnsi="Arial"/>
          <w:spacing w:val="-7"/>
          <w:sz w:val="22"/>
        </w:rPr>
        <w:t> </w:t>
      </w:r>
      <w:r>
        <w:rPr>
          <w:rFonts w:ascii="Arial" w:hAnsi="Arial"/>
          <w:sz w:val="22"/>
        </w:rPr>
        <w:t>vigente.</w:t>
      </w:r>
    </w:p>
    <w:p>
      <w:pPr>
        <w:pStyle w:val="ListParagraph"/>
        <w:numPr>
          <w:ilvl w:val="0"/>
          <w:numId w:val="4"/>
        </w:numPr>
        <w:tabs>
          <w:tab w:pos="1121" w:val="left" w:leader="none"/>
          <w:tab w:pos="1122" w:val="left" w:leader="none"/>
        </w:tabs>
        <w:spacing w:line="280" w:lineRule="auto" w:before="0" w:after="0"/>
        <w:ind w:left="1121" w:right="259" w:hanging="360"/>
        <w:jc w:val="left"/>
        <w:rPr>
          <w:rFonts w:ascii="Arial" w:hAnsi="Arial"/>
          <w:sz w:val="22"/>
        </w:rPr>
      </w:pPr>
      <w:r>
        <w:rPr>
          <w:rFonts w:ascii="Arial" w:hAnsi="Arial"/>
          <w:sz w:val="22"/>
        </w:rPr>
        <w:t>Se</w:t>
      </w:r>
      <w:r>
        <w:rPr>
          <w:rFonts w:ascii="Arial" w:hAnsi="Arial"/>
          <w:spacing w:val="-17"/>
          <w:sz w:val="22"/>
        </w:rPr>
        <w:t> </w:t>
      </w:r>
      <w:r>
        <w:rPr>
          <w:rFonts w:ascii="Arial" w:hAnsi="Arial"/>
          <w:sz w:val="22"/>
        </w:rPr>
        <w:t>encuentra</w:t>
      </w:r>
      <w:r>
        <w:rPr>
          <w:rFonts w:ascii="Arial" w:hAnsi="Arial"/>
          <w:spacing w:val="-19"/>
          <w:sz w:val="22"/>
        </w:rPr>
        <w:t> </w:t>
      </w:r>
      <w:r>
        <w:rPr>
          <w:rFonts w:ascii="Arial" w:hAnsi="Arial"/>
          <w:sz w:val="22"/>
        </w:rPr>
        <w:t>en</w:t>
      </w:r>
      <w:r>
        <w:rPr>
          <w:rFonts w:ascii="Arial" w:hAnsi="Arial"/>
          <w:spacing w:val="-19"/>
          <w:sz w:val="22"/>
        </w:rPr>
        <w:t> </w:t>
      </w:r>
      <w:r>
        <w:rPr>
          <w:rFonts w:ascii="Arial" w:hAnsi="Arial"/>
          <w:sz w:val="22"/>
        </w:rPr>
        <w:t>fase</w:t>
      </w:r>
      <w:r>
        <w:rPr>
          <w:rFonts w:ascii="Arial" w:hAnsi="Arial"/>
          <w:spacing w:val="-17"/>
          <w:sz w:val="22"/>
        </w:rPr>
        <w:t> </w:t>
      </w:r>
      <w:r>
        <w:rPr>
          <w:rFonts w:ascii="Arial" w:hAnsi="Arial"/>
          <w:sz w:val="22"/>
        </w:rPr>
        <w:t>de</w:t>
      </w:r>
      <w:r>
        <w:rPr>
          <w:rFonts w:ascii="Arial" w:hAnsi="Arial"/>
          <w:spacing w:val="-21"/>
          <w:sz w:val="22"/>
        </w:rPr>
        <w:t> </w:t>
      </w:r>
      <w:r>
        <w:rPr>
          <w:rFonts w:ascii="Arial" w:hAnsi="Arial"/>
          <w:sz w:val="22"/>
        </w:rPr>
        <w:t>elaboración</w:t>
      </w:r>
      <w:r>
        <w:rPr>
          <w:rFonts w:ascii="Arial" w:hAnsi="Arial"/>
          <w:spacing w:val="-16"/>
          <w:sz w:val="22"/>
        </w:rPr>
        <w:t> </w:t>
      </w:r>
      <w:r>
        <w:rPr>
          <w:rFonts w:ascii="Arial" w:hAnsi="Arial"/>
          <w:sz w:val="22"/>
        </w:rPr>
        <w:t>y</w:t>
      </w:r>
      <w:r>
        <w:rPr>
          <w:rFonts w:ascii="Arial" w:hAnsi="Arial"/>
          <w:spacing w:val="-16"/>
          <w:sz w:val="22"/>
        </w:rPr>
        <w:t> </w:t>
      </w:r>
      <w:r>
        <w:rPr>
          <w:rFonts w:ascii="Arial" w:hAnsi="Arial"/>
          <w:sz w:val="22"/>
        </w:rPr>
        <w:t>tramitación</w:t>
      </w:r>
      <w:r>
        <w:rPr>
          <w:rFonts w:ascii="Arial" w:hAnsi="Arial"/>
          <w:spacing w:val="-17"/>
          <w:sz w:val="22"/>
        </w:rPr>
        <w:t> </w:t>
      </w:r>
      <w:r>
        <w:rPr>
          <w:rFonts w:ascii="Arial" w:hAnsi="Arial"/>
          <w:sz w:val="22"/>
        </w:rPr>
        <w:t>la</w:t>
      </w:r>
      <w:r>
        <w:rPr>
          <w:rFonts w:ascii="Arial" w:hAnsi="Arial"/>
          <w:spacing w:val="-16"/>
          <w:sz w:val="22"/>
        </w:rPr>
        <w:t> </w:t>
      </w:r>
      <w:r>
        <w:rPr>
          <w:rFonts w:ascii="Arial" w:hAnsi="Arial"/>
          <w:sz w:val="22"/>
        </w:rPr>
        <w:t>nueva</w:t>
      </w:r>
      <w:r>
        <w:rPr>
          <w:rFonts w:ascii="Arial" w:hAnsi="Arial"/>
          <w:spacing w:val="-19"/>
          <w:sz w:val="22"/>
        </w:rPr>
        <w:t> </w:t>
      </w:r>
      <w:r>
        <w:rPr>
          <w:rFonts w:ascii="Arial" w:hAnsi="Arial"/>
          <w:sz w:val="22"/>
        </w:rPr>
        <w:t>Ordenanza</w:t>
      </w:r>
      <w:r>
        <w:rPr>
          <w:rFonts w:ascii="Arial" w:hAnsi="Arial"/>
          <w:spacing w:val="-20"/>
          <w:sz w:val="22"/>
        </w:rPr>
        <w:t> </w:t>
      </w:r>
      <w:r>
        <w:rPr>
          <w:rFonts w:ascii="Arial" w:hAnsi="Arial"/>
          <w:sz w:val="22"/>
        </w:rPr>
        <w:t>municipal del</w:t>
      </w:r>
      <w:r>
        <w:rPr>
          <w:rFonts w:ascii="Arial" w:hAnsi="Arial"/>
          <w:spacing w:val="-1"/>
          <w:sz w:val="22"/>
        </w:rPr>
        <w:t> </w:t>
      </w:r>
      <w:r>
        <w:rPr>
          <w:rFonts w:ascii="Arial" w:hAnsi="Arial"/>
          <w:sz w:val="22"/>
        </w:rPr>
        <w:t>Taxi.</w:t>
      </w:r>
    </w:p>
    <w:p>
      <w:pPr>
        <w:spacing w:after="0" w:line="280" w:lineRule="auto"/>
        <w:jc w:val="left"/>
        <w:rPr>
          <w:rFonts w:ascii="Arial" w:hAnsi="Arial"/>
          <w:sz w:val="22"/>
        </w:rPr>
        <w:sectPr>
          <w:pgSz w:w="11910" w:h="16840"/>
          <w:pgMar w:header="1217" w:footer="0" w:top="2740" w:bottom="280" w:left="1300" w:right="14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9"/>
        </w:rPr>
      </w:pPr>
    </w:p>
    <w:p>
      <w:pPr>
        <w:pStyle w:val="Heading4"/>
        <w:jc w:val="both"/>
      </w:pPr>
      <w:r>
        <w:rPr/>
        <w:t>2.- SECRETARÍA DEL AYUNTAMIENTO.</w:t>
      </w:r>
    </w:p>
    <w:p>
      <w:pPr>
        <w:pStyle w:val="BodyText"/>
        <w:rPr>
          <w:b/>
          <w:sz w:val="26"/>
        </w:rPr>
      </w:pPr>
    </w:p>
    <w:p>
      <w:pPr>
        <w:pStyle w:val="BodyText"/>
        <w:spacing w:before="6"/>
        <w:rPr>
          <w:b/>
          <w:sz w:val="29"/>
        </w:rPr>
      </w:pPr>
    </w:p>
    <w:p>
      <w:pPr>
        <w:pStyle w:val="BodyText"/>
        <w:spacing w:line="259" w:lineRule="auto"/>
        <w:ind w:left="402" w:right="255"/>
        <w:jc w:val="both"/>
      </w:pPr>
      <w:r>
        <w:rPr/>
        <w:t>Documentación</w:t>
      </w:r>
      <w:r>
        <w:rPr>
          <w:spacing w:val="-14"/>
        </w:rPr>
        <w:t> </w:t>
      </w:r>
      <w:r>
        <w:rPr/>
        <w:t>administrativa</w:t>
      </w:r>
      <w:r>
        <w:rPr>
          <w:spacing w:val="-18"/>
        </w:rPr>
        <w:t> </w:t>
      </w:r>
      <w:r>
        <w:rPr/>
        <w:t>presentada</w:t>
      </w:r>
      <w:r>
        <w:rPr>
          <w:spacing w:val="-16"/>
        </w:rPr>
        <w:t> </w:t>
      </w:r>
      <w:r>
        <w:rPr/>
        <w:t>a</w:t>
      </w:r>
      <w:r>
        <w:rPr>
          <w:spacing w:val="-14"/>
        </w:rPr>
        <w:t> </w:t>
      </w:r>
      <w:r>
        <w:rPr/>
        <w:t>firma</w:t>
      </w:r>
      <w:r>
        <w:rPr>
          <w:spacing w:val="-15"/>
        </w:rPr>
        <w:t> </w:t>
      </w:r>
      <w:r>
        <w:rPr/>
        <w:t>de</w:t>
      </w:r>
      <w:r>
        <w:rPr>
          <w:spacing w:val="-18"/>
        </w:rPr>
        <w:t> </w:t>
      </w:r>
      <w:r>
        <w:rPr/>
        <w:t>Secretaría</w:t>
      </w:r>
      <w:r>
        <w:rPr>
          <w:spacing w:val="-12"/>
        </w:rPr>
        <w:t> </w:t>
      </w:r>
      <w:r>
        <w:rPr/>
        <w:t>a</w:t>
      </w:r>
      <w:r>
        <w:rPr>
          <w:spacing w:val="-14"/>
        </w:rPr>
        <w:t> </w:t>
      </w:r>
      <w:r>
        <w:rPr/>
        <w:t>efectos</w:t>
      </w:r>
      <w:r>
        <w:rPr>
          <w:spacing w:val="-16"/>
        </w:rPr>
        <w:t> </w:t>
      </w:r>
      <w:r>
        <w:rPr/>
        <w:t>de</w:t>
      </w:r>
      <w:r>
        <w:rPr>
          <w:spacing w:val="28"/>
        </w:rPr>
        <w:t> </w:t>
      </w:r>
      <w:r>
        <w:rPr/>
        <w:t>transcripción en el Libro de Resoluciones de las dictadas por la Presidencia, por los miembros de la Corporación que resuelvan por delegación de la misma, y de certificación de actos o resoluciones de la Presidencia y de anotación en los expedientes, bajo firma, las resoluciones y acuerdos que</w:t>
      </w:r>
      <w:r>
        <w:rPr>
          <w:spacing w:val="-2"/>
        </w:rPr>
        <w:t> </w:t>
      </w:r>
      <w:r>
        <w:rPr/>
        <w:t>recaigan:</w:t>
      </w:r>
    </w:p>
    <w:p>
      <w:pPr>
        <w:pStyle w:val="ListParagraph"/>
        <w:numPr>
          <w:ilvl w:val="0"/>
          <w:numId w:val="1"/>
        </w:numPr>
        <w:tabs>
          <w:tab w:pos="542" w:val="left" w:leader="none"/>
        </w:tabs>
        <w:spacing w:line="240" w:lineRule="auto" w:before="1" w:after="0"/>
        <w:ind w:left="541" w:right="0" w:hanging="140"/>
        <w:jc w:val="left"/>
        <w:rPr>
          <w:sz w:val="24"/>
        </w:rPr>
      </w:pPr>
      <w:r>
        <w:rPr>
          <w:sz w:val="24"/>
        </w:rPr>
        <w:t>Resoluciones de Alcaldía:</w:t>
      </w:r>
      <w:r>
        <w:rPr>
          <w:spacing w:val="-3"/>
          <w:sz w:val="24"/>
        </w:rPr>
        <w:t> </w:t>
      </w:r>
      <w:r>
        <w:rPr>
          <w:sz w:val="24"/>
        </w:rPr>
        <w:t>1220</w:t>
      </w:r>
    </w:p>
    <w:p>
      <w:pPr>
        <w:pStyle w:val="ListParagraph"/>
        <w:numPr>
          <w:ilvl w:val="0"/>
          <w:numId w:val="1"/>
        </w:numPr>
        <w:tabs>
          <w:tab w:pos="542" w:val="left" w:leader="none"/>
        </w:tabs>
        <w:spacing w:line="240" w:lineRule="auto" w:before="22" w:after="0"/>
        <w:ind w:left="541" w:right="0" w:hanging="140"/>
        <w:jc w:val="left"/>
        <w:rPr>
          <w:sz w:val="24"/>
        </w:rPr>
      </w:pPr>
      <w:r>
        <w:rPr>
          <w:sz w:val="24"/>
        </w:rPr>
        <w:t>Resoluciones de Tenientes de Alcalde:</w:t>
      </w:r>
      <w:r>
        <w:rPr>
          <w:spacing w:val="-5"/>
          <w:sz w:val="24"/>
        </w:rPr>
        <w:t> </w:t>
      </w:r>
      <w:r>
        <w:rPr>
          <w:sz w:val="24"/>
        </w:rPr>
        <w:t>45</w:t>
      </w:r>
    </w:p>
    <w:p>
      <w:pPr>
        <w:pStyle w:val="ListParagraph"/>
        <w:numPr>
          <w:ilvl w:val="0"/>
          <w:numId w:val="1"/>
        </w:numPr>
        <w:tabs>
          <w:tab w:pos="542" w:val="left" w:leader="none"/>
        </w:tabs>
        <w:spacing w:line="240" w:lineRule="auto" w:before="21" w:after="0"/>
        <w:ind w:left="541" w:right="0" w:hanging="140"/>
        <w:jc w:val="left"/>
        <w:rPr>
          <w:sz w:val="24"/>
        </w:rPr>
      </w:pPr>
      <w:r>
        <w:rPr>
          <w:sz w:val="24"/>
        </w:rPr>
        <w:t>Resoluciones de Concejales delegados:</w:t>
      </w:r>
      <w:r>
        <w:rPr>
          <w:spacing w:val="-3"/>
          <w:sz w:val="24"/>
        </w:rPr>
        <w:t> </w:t>
      </w:r>
      <w:r>
        <w:rPr>
          <w:sz w:val="24"/>
        </w:rPr>
        <w:t>4942</w:t>
      </w:r>
    </w:p>
    <w:p>
      <w:pPr>
        <w:pStyle w:val="BodyText"/>
        <w:rPr>
          <w:sz w:val="26"/>
        </w:rPr>
      </w:pPr>
    </w:p>
    <w:p>
      <w:pPr>
        <w:pStyle w:val="BodyText"/>
        <w:spacing w:before="7"/>
        <w:rPr>
          <w:sz w:val="27"/>
        </w:rPr>
      </w:pPr>
    </w:p>
    <w:p>
      <w:pPr>
        <w:pStyle w:val="BodyText"/>
        <w:spacing w:line="259" w:lineRule="auto" w:before="1"/>
        <w:ind w:left="402"/>
      </w:pPr>
      <w:r>
        <w:rPr/>
        <w:t>Actas</w:t>
      </w:r>
      <w:r>
        <w:rPr>
          <w:spacing w:val="-17"/>
        </w:rPr>
        <w:t> </w:t>
      </w:r>
      <w:r>
        <w:rPr/>
        <w:t>de</w:t>
      </w:r>
      <w:r>
        <w:rPr>
          <w:spacing w:val="-18"/>
        </w:rPr>
        <w:t> </w:t>
      </w:r>
      <w:r>
        <w:rPr/>
        <w:t>las</w:t>
      </w:r>
      <w:r>
        <w:rPr>
          <w:spacing w:val="-16"/>
        </w:rPr>
        <w:t> </w:t>
      </w:r>
      <w:r>
        <w:rPr/>
        <w:t>sesiones</w:t>
      </w:r>
      <w:r>
        <w:rPr>
          <w:spacing w:val="-17"/>
        </w:rPr>
        <w:t> </w:t>
      </w:r>
      <w:r>
        <w:rPr/>
        <w:t>de</w:t>
      </w:r>
      <w:r>
        <w:rPr>
          <w:spacing w:val="-18"/>
        </w:rPr>
        <w:t> </w:t>
      </w:r>
      <w:r>
        <w:rPr/>
        <w:t>los</w:t>
      </w:r>
      <w:r>
        <w:rPr>
          <w:spacing w:val="-16"/>
        </w:rPr>
        <w:t> </w:t>
      </w:r>
      <w:r>
        <w:rPr/>
        <w:t>órganos</w:t>
      </w:r>
      <w:r>
        <w:rPr>
          <w:spacing w:val="-17"/>
        </w:rPr>
        <w:t> </w:t>
      </w:r>
      <w:r>
        <w:rPr/>
        <w:t>colegiados,</w:t>
      </w:r>
      <w:r>
        <w:rPr>
          <w:spacing w:val="-16"/>
        </w:rPr>
        <w:t> </w:t>
      </w:r>
      <w:r>
        <w:rPr/>
        <w:t>Pleno,</w:t>
      </w:r>
      <w:r>
        <w:rPr>
          <w:spacing w:val="-17"/>
        </w:rPr>
        <w:t> </w:t>
      </w:r>
      <w:r>
        <w:rPr/>
        <w:t>la</w:t>
      </w:r>
      <w:r>
        <w:rPr>
          <w:spacing w:val="-17"/>
        </w:rPr>
        <w:t> </w:t>
      </w:r>
      <w:r>
        <w:rPr/>
        <w:t>Junta</w:t>
      </w:r>
      <w:r>
        <w:rPr>
          <w:spacing w:val="-17"/>
        </w:rPr>
        <w:t> </w:t>
      </w:r>
      <w:r>
        <w:rPr/>
        <w:t>de</w:t>
      </w:r>
      <w:r>
        <w:rPr>
          <w:spacing w:val="-18"/>
        </w:rPr>
        <w:t> </w:t>
      </w:r>
      <w:r>
        <w:rPr/>
        <w:t>Gobierno,</w:t>
      </w:r>
      <w:r>
        <w:rPr>
          <w:spacing w:val="-16"/>
        </w:rPr>
        <w:t> </w:t>
      </w:r>
      <w:r>
        <w:rPr/>
        <w:t>y</w:t>
      </w:r>
      <w:r>
        <w:rPr>
          <w:spacing w:val="-17"/>
        </w:rPr>
        <w:t> </w:t>
      </w:r>
      <w:r>
        <w:rPr/>
        <w:t>comisiones informativas:</w:t>
      </w:r>
    </w:p>
    <w:p>
      <w:pPr>
        <w:pStyle w:val="ListParagraph"/>
        <w:numPr>
          <w:ilvl w:val="0"/>
          <w:numId w:val="1"/>
        </w:numPr>
        <w:tabs>
          <w:tab w:pos="542" w:val="left" w:leader="none"/>
        </w:tabs>
        <w:spacing w:line="275" w:lineRule="exact" w:before="0" w:after="0"/>
        <w:ind w:left="541" w:right="0" w:hanging="140"/>
        <w:jc w:val="left"/>
        <w:rPr>
          <w:sz w:val="24"/>
        </w:rPr>
      </w:pPr>
      <w:r>
        <w:rPr>
          <w:sz w:val="24"/>
        </w:rPr>
        <w:t>Pleno: 13</w:t>
      </w:r>
      <w:r>
        <w:rPr>
          <w:spacing w:val="-2"/>
          <w:sz w:val="24"/>
        </w:rPr>
        <w:t> </w:t>
      </w:r>
      <w:r>
        <w:rPr>
          <w:sz w:val="24"/>
        </w:rPr>
        <w:t>actas.</w:t>
      </w:r>
    </w:p>
    <w:p>
      <w:pPr>
        <w:pStyle w:val="ListParagraph"/>
        <w:numPr>
          <w:ilvl w:val="0"/>
          <w:numId w:val="1"/>
        </w:numPr>
        <w:tabs>
          <w:tab w:pos="542" w:val="left" w:leader="none"/>
        </w:tabs>
        <w:spacing w:line="240" w:lineRule="auto" w:before="21" w:after="0"/>
        <w:ind w:left="541" w:right="0" w:hanging="140"/>
        <w:jc w:val="left"/>
        <w:rPr>
          <w:sz w:val="24"/>
        </w:rPr>
      </w:pPr>
      <w:r>
        <w:rPr>
          <w:sz w:val="24"/>
        </w:rPr>
        <w:t>Junta de Gobierno Local: 2</w:t>
      </w:r>
      <w:r>
        <w:rPr>
          <w:spacing w:val="-2"/>
          <w:sz w:val="24"/>
        </w:rPr>
        <w:t> </w:t>
      </w:r>
      <w:r>
        <w:rPr>
          <w:sz w:val="24"/>
        </w:rPr>
        <w:t>actas.</w:t>
      </w:r>
    </w:p>
    <w:p>
      <w:pPr>
        <w:pStyle w:val="ListParagraph"/>
        <w:numPr>
          <w:ilvl w:val="0"/>
          <w:numId w:val="1"/>
        </w:numPr>
        <w:tabs>
          <w:tab w:pos="542" w:val="left" w:leader="none"/>
        </w:tabs>
        <w:spacing w:line="520" w:lineRule="auto" w:before="22" w:after="0"/>
        <w:ind w:left="402" w:right="5238" w:firstLine="0"/>
        <w:jc w:val="left"/>
        <w:rPr>
          <w:sz w:val="24"/>
        </w:rPr>
      </w:pPr>
      <w:r>
        <w:rPr>
          <w:sz w:val="24"/>
        </w:rPr>
        <w:t>Comisiones Informativas: 32 actas. Notificaciones:</w:t>
      </w:r>
    </w:p>
    <w:p>
      <w:pPr>
        <w:spacing w:after="0" w:line="520" w:lineRule="auto"/>
        <w:jc w:val="left"/>
        <w:rPr>
          <w:sz w:val="24"/>
        </w:rPr>
        <w:sectPr>
          <w:pgSz w:w="11910" w:h="16840"/>
          <w:pgMar w:header="1217" w:footer="0" w:top="2740" w:bottom="280" w:left="1300" w:right="1440"/>
        </w:sectPr>
      </w:pPr>
    </w:p>
    <w:p>
      <w:pPr>
        <w:pStyle w:val="BodyText"/>
        <w:rPr>
          <w:sz w:val="20"/>
        </w:rPr>
      </w:pPr>
    </w:p>
    <w:p>
      <w:pPr>
        <w:pStyle w:val="BodyText"/>
        <w:rPr>
          <w:sz w:val="20"/>
        </w:rPr>
      </w:pPr>
    </w:p>
    <w:p>
      <w:pPr>
        <w:pStyle w:val="BodyText"/>
        <w:spacing w:before="1"/>
        <w:rPr>
          <w:sz w:val="22"/>
        </w:rPr>
      </w:pPr>
    </w:p>
    <w:p>
      <w:pPr>
        <w:pStyle w:val="BodyText"/>
        <w:ind w:left="401"/>
        <w:rPr>
          <w:sz w:val="20"/>
        </w:rPr>
      </w:pPr>
      <w:r>
        <w:rPr>
          <w:sz w:val="20"/>
        </w:rPr>
        <w:drawing>
          <wp:inline distT="0" distB="0" distL="0" distR="0">
            <wp:extent cx="5404475" cy="344957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5404475" cy="3449574"/>
                    </a:xfrm>
                    <a:prstGeom prst="rect">
                      <a:avLst/>
                    </a:prstGeom>
                  </pic:spPr>
                </pic:pic>
              </a:graphicData>
            </a:graphic>
          </wp:inline>
        </w:drawing>
      </w:r>
      <w:r>
        <w:rPr>
          <w:sz w:val="20"/>
        </w:rPr>
      </w:r>
    </w:p>
    <w:p>
      <w:pPr>
        <w:pStyle w:val="BodyText"/>
        <w:rPr>
          <w:sz w:val="20"/>
        </w:rPr>
      </w:pPr>
    </w:p>
    <w:p>
      <w:pPr>
        <w:pStyle w:val="BodyText"/>
        <w:rPr>
          <w:sz w:val="22"/>
        </w:rPr>
      </w:pPr>
    </w:p>
    <w:p>
      <w:pPr>
        <w:pStyle w:val="BodyText"/>
        <w:ind w:left="402"/>
      </w:pPr>
      <w:r>
        <w:rPr/>
        <w:t>Informes del Secretario de organización y funcionamiento: 15</w:t>
      </w:r>
    </w:p>
    <w:p>
      <w:pPr>
        <w:pStyle w:val="BodyText"/>
        <w:spacing w:line="259" w:lineRule="auto" w:before="22"/>
        <w:ind w:left="402"/>
      </w:pPr>
      <w:r>
        <w:rPr/>
        <w:t>Informes previos: No cuantificados, (Informes en expedientes de otras unidades administrativas).</w:t>
      </w:r>
    </w:p>
    <w:p>
      <w:pPr>
        <w:pStyle w:val="BodyText"/>
        <w:spacing w:line="275" w:lineRule="exact"/>
        <w:ind w:left="402"/>
      </w:pPr>
      <w:r>
        <w:rPr/>
        <w:t>Instrucciones/ordenes de servicio de Secretaría General: 0</w:t>
      </w:r>
    </w:p>
    <w:p>
      <w:pPr>
        <w:pStyle w:val="BodyText"/>
        <w:rPr>
          <w:sz w:val="26"/>
        </w:rPr>
      </w:pPr>
    </w:p>
    <w:p>
      <w:pPr>
        <w:pStyle w:val="BodyText"/>
        <w:spacing w:before="10"/>
        <w:rPr>
          <w:sz w:val="27"/>
        </w:rPr>
      </w:pPr>
    </w:p>
    <w:p>
      <w:pPr>
        <w:pStyle w:val="BodyText"/>
        <w:spacing w:line="259" w:lineRule="auto"/>
        <w:ind w:left="402" w:right="263"/>
      </w:pPr>
      <w:r>
        <w:rPr/>
        <w:t>Asistencia a sesiones de los órganos colegiados, Pleno, la Junta de Gobierno, y comisiones informativas:</w:t>
      </w:r>
    </w:p>
    <w:p>
      <w:pPr>
        <w:pStyle w:val="ListParagraph"/>
        <w:numPr>
          <w:ilvl w:val="0"/>
          <w:numId w:val="1"/>
        </w:numPr>
        <w:tabs>
          <w:tab w:pos="542" w:val="left" w:leader="none"/>
        </w:tabs>
        <w:spacing w:line="275" w:lineRule="exact" w:before="0" w:after="0"/>
        <w:ind w:left="541" w:right="0" w:hanging="140"/>
        <w:jc w:val="left"/>
        <w:rPr>
          <w:sz w:val="24"/>
        </w:rPr>
      </w:pPr>
      <w:r>
        <w:rPr>
          <w:sz w:val="24"/>
        </w:rPr>
        <w:t>Pleno: 13</w:t>
      </w:r>
      <w:r>
        <w:rPr>
          <w:spacing w:val="-2"/>
          <w:sz w:val="24"/>
        </w:rPr>
        <w:t> </w:t>
      </w:r>
      <w:r>
        <w:rPr>
          <w:sz w:val="24"/>
        </w:rPr>
        <w:t>sesiones.</w:t>
      </w:r>
    </w:p>
    <w:p>
      <w:pPr>
        <w:pStyle w:val="ListParagraph"/>
        <w:numPr>
          <w:ilvl w:val="0"/>
          <w:numId w:val="1"/>
        </w:numPr>
        <w:tabs>
          <w:tab w:pos="542" w:val="left" w:leader="none"/>
        </w:tabs>
        <w:spacing w:line="240" w:lineRule="auto" w:before="21" w:after="0"/>
        <w:ind w:left="541" w:right="0" w:hanging="140"/>
        <w:jc w:val="left"/>
        <w:rPr>
          <w:sz w:val="24"/>
        </w:rPr>
      </w:pPr>
      <w:r>
        <w:rPr>
          <w:sz w:val="24"/>
        </w:rPr>
        <w:t>Junta de Gobierno Local: 2</w:t>
      </w:r>
      <w:r>
        <w:rPr>
          <w:spacing w:val="-4"/>
          <w:sz w:val="24"/>
        </w:rPr>
        <w:t> </w:t>
      </w:r>
      <w:r>
        <w:rPr>
          <w:sz w:val="24"/>
        </w:rPr>
        <w:t>sesiones.</w:t>
      </w:r>
    </w:p>
    <w:p>
      <w:pPr>
        <w:pStyle w:val="ListParagraph"/>
        <w:numPr>
          <w:ilvl w:val="0"/>
          <w:numId w:val="1"/>
        </w:numPr>
        <w:tabs>
          <w:tab w:pos="542" w:val="left" w:leader="none"/>
        </w:tabs>
        <w:spacing w:line="240" w:lineRule="auto" w:before="22" w:after="0"/>
        <w:ind w:left="541" w:right="0" w:hanging="140"/>
        <w:jc w:val="left"/>
        <w:rPr>
          <w:sz w:val="24"/>
        </w:rPr>
      </w:pPr>
      <w:r>
        <w:rPr>
          <w:sz w:val="24"/>
        </w:rPr>
        <w:t>Comisiones Informativas: 32</w:t>
      </w:r>
      <w:r>
        <w:rPr>
          <w:spacing w:val="-3"/>
          <w:sz w:val="24"/>
        </w:rPr>
        <w:t> </w:t>
      </w:r>
      <w:r>
        <w:rPr>
          <w:sz w:val="24"/>
        </w:rPr>
        <w:t>sesiones.</w:t>
      </w:r>
    </w:p>
    <w:p>
      <w:pPr>
        <w:pStyle w:val="BodyText"/>
        <w:spacing w:before="9"/>
        <w:rPr>
          <w:sz w:val="27"/>
        </w:rPr>
      </w:pPr>
    </w:p>
    <w:p>
      <w:pPr>
        <w:pStyle w:val="BodyText"/>
        <w:ind w:left="402"/>
      </w:pPr>
      <w:r>
        <w:rPr/>
        <w:t>Otros:</w:t>
      </w:r>
    </w:p>
    <w:p>
      <w:pPr>
        <w:pStyle w:val="ListParagraph"/>
        <w:numPr>
          <w:ilvl w:val="0"/>
          <w:numId w:val="1"/>
        </w:numPr>
        <w:tabs>
          <w:tab w:pos="542" w:val="left" w:leader="none"/>
        </w:tabs>
        <w:spacing w:line="240" w:lineRule="auto" w:before="22" w:after="0"/>
        <w:ind w:left="541" w:right="0" w:hanging="140"/>
        <w:jc w:val="left"/>
        <w:rPr>
          <w:sz w:val="24"/>
        </w:rPr>
      </w:pPr>
      <w:r>
        <w:rPr>
          <w:sz w:val="24"/>
        </w:rPr>
        <w:t>Encargos recibidos: Mis encargos: 74 (por fecha de solicitud)</w:t>
      </w:r>
      <w:r>
        <w:rPr>
          <w:spacing w:val="-1"/>
          <w:sz w:val="24"/>
        </w:rPr>
        <w:t> </w:t>
      </w:r>
      <w:r>
        <w:rPr>
          <w:sz w:val="24"/>
        </w:rPr>
        <w:t>*</w:t>
      </w:r>
    </w:p>
    <w:p>
      <w:pPr>
        <w:pStyle w:val="ListParagraph"/>
        <w:numPr>
          <w:ilvl w:val="0"/>
          <w:numId w:val="1"/>
        </w:numPr>
        <w:tabs>
          <w:tab w:pos="542" w:val="left" w:leader="none"/>
        </w:tabs>
        <w:spacing w:line="240" w:lineRule="auto" w:before="24" w:after="0"/>
        <w:ind w:left="541" w:right="0" w:hanging="140"/>
        <w:jc w:val="left"/>
        <w:rPr>
          <w:sz w:val="24"/>
        </w:rPr>
      </w:pPr>
      <w:r>
        <w:rPr>
          <w:sz w:val="24"/>
        </w:rPr>
        <w:t>Encargos recibidos. Encargos de mi unidad/oficina (por fecha de solicitud):</w:t>
      </w:r>
      <w:r>
        <w:rPr>
          <w:spacing w:val="-6"/>
          <w:sz w:val="24"/>
        </w:rPr>
        <w:t> </w:t>
      </w:r>
      <w:r>
        <w:rPr>
          <w:sz w:val="24"/>
        </w:rPr>
        <w:t>87</w:t>
      </w:r>
    </w:p>
    <w:p>
      <w:pPr>
        <w:pStyle w:val="BodyText"/>
        <w:spacing w:before="9"/>
        <w:rPr>
          <w:sz w:val="27"/>
        </w:rPr>
      </w:pPr>
    </w:p>
    <w:p>
      <w:pPr>
        <w:spacing w:before="0"/>
        <w:ind w:left="402" w:right="0" w:firstLine="0"/>
        <w:jc w:val="left"/>
        <w:rPr>
          <w:i/>
          <w:sz w:val="24"/>
        </w:rPr>
      </w:pPr>
      <w:r>
        <w:rPr>
          <w:i/>
          <w:sz w:val="24"/>
        </w:rPr>
        <w:t>Fuente aplicación myTAO</w:t>
      </w:r>
    </w:p>
    <w:p>
      <w:pPr>
        <w:spacing w:line="259" w:lineRule="auto" w:before="21"/>
        <w:ind w:left="402" w:right="0" w:firstLine="0"/>
        <w:jc w:val="left"/>
        <w:rPr>
          <w:i/>
          <w:sz w:val="24"/>
        </w:rPr>
      </w:pPr>
      <w:r>
        <w:rPr>
          <w:i/>
          <w:sz w:val="24"/>
        </w:rPr>
        <w:t>* (Principalmente petición de informes al Secretario en expedientes de otras Unidades </w:t>
      </w:r>
      <w:r>
        <w:rPr>
          <w:i/>
          <w:sz w:val="24"/>
        </w:rPr>
        <w:t>Administrativas)</w:t>
      </w:r>
    </w:p>
    <w:p>
      <w:pPr>
        <w:spacing w:after="0" w:line="259" w:lineRule="auto"/>
        <w:jc w:val="left"/>
        <w:rPr>
          <w:sz w:val="24"/>
        </w:rPr>
        <w:sectPr>
          <w:pgSz w:w="11910" w:h="16840"/>
          <w:pgMar w:header="1217" w:footer="0" w:top="2740" w:bottom="280" w:left="1300" w:right="1440"/>
        </w:sectPr>
      </w:pPr>
    </w:p>
    <w:p>
      <w:pPr>
        <w:pStyle w:val="BodyText"/>
        <w:rPr>
          <w:i/>
          <w:sz w:val="20"/>
        </w:rPr>
      </w:pPr>
    </w:p>
    <w:p>
      <w:pPr>
        <w:pStyle w:val="BodyText"/>
        <w:spacing w:before="3"/>
        <w:rPr>
          <w:i/>
          <w:sz w:val="19"/>
        </w:rPr>
      </w:pPr>
    </w:p>
    <w:p>
      <w:pPr>
        <w:pStyle w:val="Heading4"/>
        <w:numPr>
          <w:ilvl w:val="0"/>
          <w:numId w:val="5"/>
        </w:numPr>
        <w:tabs>
          <w:tab w:pos="662" w:val="left" w:leader="none"/>
        </w:tabs>
        <w:spacing w:line="240" w:lineRule="auto" w:before="90" w:after="0"/>
        <w:ind w:left="661" w:right="0" w:hanging="260"/>
        <w:jc w:val="left"/>
      </w:pPr>
      <w:r>
        <w:rPr/>
        <w:t>INTERVENCIÓN DEL</w:t>
      </w:r>
      <w:r>
        <w:rPr>
          <w:spacing w:val="-2"/>
        </w:rPr>
        <w:t> </w:t>
      </w:r>
      <w:r>
        <w:rPr/>
        <w:t>AYUNTAMIENTO.</w:t>
      </w:r>
    </w:p>
    <w:p>
      <w:pPr>
        <w:pStyle w:val="BodyText"/>
        <w:rPr>
          <w:b/>
          <w:sz w:val="20"/>
        </w:rPr>
      </w:pPr>
    </w:p>
    <w:p>
      <w:pPr>
        <w:pStyle w:val="BodyText"/>
        <w:rPr>
          <w:b/>
          <w:sz w:val="20"/>
        </w:rPr>
      </w:pPr>
    </w:p>
    <w:p>
      <w:pPr>
        <w:pStyle w:val="BodyText"/>
        <w:spacing w:before="2"/>
        <w:rPr>
          <w:b/>
          <w:sz w:val="12"/>
        </w:rPr>
      </w:pPr>
      <w:r>
        <w:rPr/>
        <w:drawing>
          <wp:anchor distT="0" distB="0" distL="0" distR="0" allowOverlap="1" layoutInCell="1" locked="0" behindDoc="0" simplePos="0" relativeHeight="2">
            <wp:simplePos x="0" y="0"/>
            <wp:positionH relativeFrom="page">
              <wp:posOffset>1080135</wp:posOffset>
            </wp:positionH>
            <wp:positionV relativeFrom="paragraph">
              <wp:posOffset>114173</wp:posOffset>
            </wp:positionV>
            <wp:extent cx="5412865" cy="1527619"/>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412865" cy="1527619"/>
                    </a:xfrm>
                    <a:prstGeom prst="rect">
                      <a:avLst/>
                    </a:prstGeom>
                  </pic:spPr>
                </pic:pic>
              </a:graphicData>
            </a:graphic>
          </wp:anchor>
        </w:drawing>
      </w:r>
    </w:p>
    <w:p>
      <w:pPr>
        <w:pStyle w:val="BodyText"/>
        <w:rPr>
          <w:b/>
          <w:sz w:val="20"/>
        </w:rPr>
      </w:pPr>
    </w:p>
    <w:p>
      <w:pPr>
        <w:pStyle w:val="BodyText"/>
        <w:rPr>
          <w:b/>
          <w:sz w:val="20"/>
        </w:rPr>
      </w:pPr>
    </w:p>
    <w:p>
      <w:pPr>
        <w:pStyle w:val="BodyText"/>
        <w:rPr>
          <w:b/>
          <w:sz w:val="11"/>
        </w:rPr>
      </w:pPr>
      <w:r>
        <w:rPr/>
        <w:drawing>
          <wp:anchor distT="0" distB="0" distL="0" distR="0" allowOverlap="1" layoutInCell="1" locked="0" behindDoc="0" simplePos="0" relativeHeight="3">
            <wp:simplePos x="0" y="0"/>
            <wp:positionH relativeFrom="page">
              <wp:posOffset>1080135</wp:posOffset>
            </wp:positionH>
            <wp:positionV relativeFrom="paragraph">
              <wp:posOffset>105193</wp:posOffset>
            </wp:positionV>
            <wp:extent cx="5341748" cy="1538001"/>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5341748" cy="1538001"/>
                    </a:xfrm>
                    <a:prstGeom prst="rect">
                      <a:avLst/>
                    </a:prstGeom>
                  </pic:spPr>
                </pic:pic>
              </a:graphicData>
            </a:graphic>
          </wp:anchor>
        </w:drawing>
      </w:r>
    </w:p>
    <w:p>
      <w:pPr>
        <w:spacing w:after="0"/>
        <w:rPr>
          <w:sz w:val="11"/>
        </w:rPr>
        <w:sectPr>
          <w:pgSz w:w="11910" w:h="16840"/>
          <w:pgMar w:header="1217" w:footer="0" w:top="2740" w:bottom="280" w:left="1300" w:right="1440"/>
        </w:sectPr>
      </w:pPr>
    </w:p>
    <w:p>
      <w:pPr>
        <w:pStyle w:val="BodyText"/>
        <w:rPr>
          <w:b/>
          <w:sz w:val="20"/>
        </w:rPr>
      </w:pPr>
    </w:p>
    <w:p>
      <w:pPr>
        <w:pStyle w:val="BodyText"/>
        <w:spacing w:before="3"/>
        <w:rPr>
          <w:b/>
          <w:sz w:val="19"/>
        </w:rPr>
      </w:pPr>
    </w:p>
    <w:p>
      <w:pPr>
        <w:spacing w:before="90"/>
        <w:ind w:left="402" w:right="0" w:firstLine="0"/>
        <w:jc w:val="left"/>
        <w:rPr>
          <w:b/>
          <w:sz w:val="24"/>
        </w:rPr>
      </w:pPr>
      <w:r>
        <w:rPr>
          <w:b/>
          <w:sz w:val="24"/>
        </w:rPr>
        <w:t>4.- TESORERÍA</w:t>
      </w:r>
    </w:p>
    <w:p>
      <w:pPr>
        <w:pStyle w:val="BodyText"/>
        <w:rPr>
          <w:b/>
          <w:sz w:val="20"/>
        </w:rPr>
      </w:pPr>
    </w:p>
    <w:p>
      <w:pPr>
        <w:pStyle w:val="BodyText"/>
        <w:spacing w:before="5"/>
        <w:rPr>
          <w:b/>
          <w:sz w:val="27"/>
        </w:rPr>
      </w:pPr>
    </w:p>
    <w:p>
      <w:pPr>
        <w:spacing w:before="93"/>
        <w:ind w:left="410" w:right="275" w:firstLine="0"/>
        <w:jc w:val="center"/>
        <w:rPr>
          <w:rFonts w:ascii="Arial" w:hAnsi="Arial"/>
          <w:b/>
          <w:sz w:val="20"/>
        </w:rPr>
      </w:pPr>
      <w:r>
        <w:rPr>
          <w:rFonts w:ascii="Arial" w:hAnsi="Arial"/>
          <w:b/>
          <w:sz w:val="20"/>
        </w:rPr>
        <w:t>MEMORIA DE GESTIÓN 2025</w:t>
      </w:r>
    </w:p>
    <w:p>
      <w:pPr>
        <w:pStyle w:val="BodyText"/>
        <w:rPr>
          <w:rFonts w:ascii="Arial"/>
          <w:b/>
          <w:sz w:val="22"/>
        </w:rPr>
      </w:pPr>
    </w:p>
    <w:p>
      <w:pPr>
        <w:pStyle w:val="BodyText"/>
        <w:spacing w:before="1"/>
        <w:rPr>
          <w:rFonts w:ascii="Arial"/>
          <w:b/>
          <w:sz w:val="18"/>
        </w:rPr>
      </w:pPr>
    </w:p>
    <w:p>
      <w:pPr>
        <w:spacing w:before="0"/>
        <w:ind w:left="410" w:right="276" w:firstLine="0"/>
        <w:jc w:val="center"/>
        <w:rPr>
          <w:rFonts w:ascii="Arial" w:hAnsi="Arial"/>
          <w:b/>
          <w:sz w:val="20"/>
        </w:rPr>
      </w:pPr>
      <w:r>
        <w:rPr>
          <w:rFonts w:ascii="Arial" w:hAnsi="Arial"/>
          <w:b/>
          <w:sz w:val="20"/>
        </w:rPr>
        <w:t>UNIDAD DE TESORERÍA, GESTIÓN TRIBUTARIA Y RECAUDACIÓN</w:t>
      </w:r>
    </w:p>
    <w:p>
      <w:pPr>
        <w:pStyle w:val="BodyText"/>
        <w:rPr>
          <w:rFonts w:ascii="Arial"/>
          <w:b/>
          <w:sz w:val="22"/>
        </w:rPr>
      </w:pPr>
    </w:p>
    <w:p>
      <w:pPr>
        <w:pStyle w:val="BodyText"/>
        <w:rPr>
          <w:rFonts w:ascii="Arial"/>
          <w:b/>
          <w:sz w:val="18"/>
        </w:rPr>
      </w:pPr>
    </w:p>
    <w:p>
      <w:pPr>
        <w:spacing w:before="0"/>
        <w:ind w:left="402" w:right="267" w:firstLine="0"/>
        <w:jc w:val="both"/>
        <w:rPr>
          <w:rFonts w:ascii="Arial" w:hAnsi="Arial"/>
          <w:sz w:val="20"/>
        </w:rPr>
      </w:pPr>
      <w:r>
        <w:rPr>
          <w:rFonts w:ascii="Arial" w:hAnsi="Arial"/>
          <w:sz w:val="20"/>
        </w:rPr>
        <w:t>La Unidad de Tesorería desarrolla funciones públicas de Tesorería, Gestión tributaria y Recaudación de los tributos locales y demás ingresos de derecho público. En líneas generales, los servicios prestados son:</w:t>
      </w:r>
    </w:p>
    <w:p>
      <w:pPr>
        <w:pStyle w:val="BodyText"/>
        <w:spacing w:before="3"/>
        <w:rPr>
          <w:rFonts w:ascii="Arial"/>
          <w:sz w:val="20"/>
        </w:rPr>
      </w:pPr>
    </w:p>
    <w:p>
      <w:pPr>
        <w:pStyle w:val="ListParagraph"/>
        <w:numPr>
          <w:ilvl w:val="0"/>
          <w:numId w:val="6"/>
        </w:numPr>
        <w:tabs>
          <w:tab w:pos="1122" w:val="left" w:leader="none"/>
        </w:tabs>
        <w:spacing w:line="237" w:lineRule="auto" w:before="0" w:after="0"/>
        <w:ind w:left="1121" w:right="266" w:hanging="360"/>
        <w:jc w:val="both"/>
        <w:rPr>
          <w:rFonts w:ascii="Arial" w:hAnsi="Arial"/>
          <w:sz w:val="20"/>
        </w:rPr>
      </w:pPr>
      <w:r>
        <w:rPr>
          <w:rFonts w:ascii="Arial" w:hAnsi="Arial"/>
          <w:sz w:val="20"/>
        </w:rPr>
        <w:t>Gestión tributaria: elaboración y mantenimiento de censos, padrones fiscales o matriculas, carga de ficheros externos, tratamiento y comprobación de la información tributaria; concesión de beneficios fiscales, aprobación de liquidaciones de ingreso directo, anulación de liquidaciones y tramitación de la devolución de ingresos debidos e indebidos, resolución de recursos administrativos, información y asistencia</w:t>
      </w:r>
      <w:r>
        <w:rPr>
          <w:rFonts w:ascii="Arial" w:hAnsi="Arial"/>
          <w:spacing w:val="-32"/>
          <w:sz w:val="20"/>
        </w:rPr>
        <w:t> </w:t>
      </w:r>
      <w:r>
        <w:rPr>
          <w:rFonts w:ascii="Arial" w:hAnsi="Arial"/>
          <w:sz w:val="20"/>
        </w:rPr>
        <w:t>tributaria.</w:t>
      </w:r>
    </w:p>
    <w:p>
      <w:pPr>
        <w:pStyle w:val="ListParagraph"/>
        <w:numPr>
          <w:ilvl w:val="0"/>
          <w:numId w:val="6"/>
        </w:numPr>
        <w:tabs>
          <w:tab w:pos="1122" w:val="left" w:leader="none"/>
        </w:tabs>
        <w:spacing w:line="236" w:lineRule="exact" w:before="0" w:after="0"/>
        <w:ind w:left="1122" w:right="0" w:hanging="361"/>
        <w:jc w:val="both"/>
        <w:rPr>
          <w:rFonts w:ascii="Arial" w:hAnsi="Arial"/>
          <w:sz w:val="20"/>
        </w:rPr>
      </w:pPr>
      <w:r>
        <w:rPr>
          <w:rFonts w:ascii="Arial" w:hAnsi="Arial"/>
          <w:sz w:val="20"/>
        </w:rPr>
        <w:t>Información al contribuyente en materia catastral a través del</w:t>
      </w:r>
      <w:r>
        <w:rPr>
          <w:rFonts w:ascii="Arial" w:hAnsi="Arial"/>
          <w:spacing w:val="-9"/>
          <w:sz w:val="20"/>
        </w:rPr>
        <w:t> </w:t>
      </w:r>
      <w:r>
        <w:rPr>
          <w:rFonts w:ascii="Arial" w:hAnsi="Arial"/>
          <w:sz w:val="20"/>
        </w:rPr>
        <w:t>PIC.</w:t>
      </w:r>
    </w:p>
    <w:p>
      <w:pPr>
        <w:pStyle w:val="ListParagraph"/>
        <w:numPr>
          <w:ilvl w:val="0"/>
          <w:numId w:val="6"/>
        </w:numPr>
        <w:tabs>
          <w:tab w:pos="1122" w:val="left" w:leader="none"/>
        </w:tabs>
        <w:spacing w:line="233" w:lineRule="exact" w:before="0" w:after="0"/>
        <w:ind w:left="1122" w:right="0" w:hanging="361"/>
        <w:jc w:val="both"/>
        <w:rPr>
          <w:rFonts w:ascii="Arial" w:hAnsi="Arial"/>
          <w:sz w:val="20"/>
        </w:rPr>
      </w:pPr>
      <w:r>
        <w:rPr>
          <w:rFonts w:ascii="Arial" w:hAnsi="Arial"/>
          <w:sz w:val="20"/>
        </w:rPr>
        <w:t>Recaudación voluntaria y ejecutiva de</w:t>
      </w:r>
      <w:r>
        <w:rPr>
          <w:rFonts w:ascii="Arial" w:hAnsi="Arial"/>
          <w:spacing w:val="-3"/>
          <w:sz w:val="20"/>
        </w:rPr>
        <w:t> </w:t>
      </w:r>
      <w:r>
        <w:rPr>
          <w:rFonts w:ascii="Arial" w:hAnsi="Arial"/>
          <w:sz w:val="20"/>
        </w:rPr>
        <w:t>derechos.</w:t>
      </w:r>
    </w:p>
    <w:p>
      <w:pPr>
        <w:pStyle w:val="ListParagraph"/>
        <w:numPr>
          <w:ilvl w:val="0"/>
          <w:numId w:val="6"/>
        </w:numPr>
        <w:tabs>
          <w:tab w:pos="1121" w:val="left" w:leader="none"/>
          <w:tab w:pos="1122" w:val="left" w:leader="none"/>
        </w:tabs>
        <w:spacing w:line="228" w:lineRule="auto" w:before="4" w:after="0"/>
        <w:ind w:left="1121" w:right="268" w:hanging="360"/>
        <w:jc w:val="left"/>
        <w:rPr>
          <w:rFonts w:ascii="Arial" w:hAnsi="Arial"/>
          <w:sz w:val="20"/>
        </w:rPr>
      </w:pPr>
      <w:r>
        <w:rPr>
          <w:rFonts w:ascii="Arial" w:hAnsi="Arial"/>
          <w:sz w:val="20"/>
        </w:rPr>
        <w:t>Tramitación y concesión de fraccionamientos de pago, de sistemas especiales de pago o pagos</w:t>
      </w:r>
      <w:r>
        <w:rPr>
          <w:rFonts w:ascii="Arial" w:hAnsi="Arial"/>
          <w:spacing w:val="-2"/>
          <w:sz w:val="20"/>
        </w:rPr>
        <w:t> </w:t>
      </w:r>
      <w:r>
        <w:rPr>
          <w:rFonts w:ascii="Arial" w:hAnsi="Arial"/>
          <w:sz w:val="20"/>
        </w:rPr>
        <w:t>personalizados.</w:t>
      </w:r>
    </w:p>
    <w:p>
      <w:pPr>
        <w:pStyle w:val="ListParagraph"/>
        <w:numPr>
          <w:ilvl w:val="0"/>
          <w:numId w:val="6"/>
        </w:numPr>
        <w:tabs>
          <w:tab w:pos="1121" w:val="left" w:leader="none"/>
          <w:tab w:pos="1122" w:val="left" w:leader="none"/>
        </w:tabs>
        <w:spacing w:line="238" w:lineRule="exact" w:before="3" w:after="0"/>
        <w:ind w:left="1122" w:right="0" w:hanging="361"/>
        <w:jc w:val="left"/>
        <w:rPr>
          <w:rFonts w:ascii="Arial" w:hAnsi="Arial"/>
          <w:sz w:val="20"/>
        </w:rPr>
      </w:pPr>
      <w:r>
        <w:rPr>
          <w:rFonts w:ascii="Arial" w:hAnsi="Arial"/>
          <w:sz w:val="20"/>
        </w:rPr>
        <w:t>Elaboración y ejecución del plan de actuaciones inspectoras para el año</w:t>
      </w:r>
      <w:r>
        <w:rPr>
          <w:rFonts w:ascii="Arial" w:hAnsi="Arial"/>
          <w:spacing w:val="-22"/>
          <w:sz w:val="20"/>
        </w:rPr>
        <w:t> </w:t>
      </w:r>
      <w:r>
        <w:rPr>
          <w:rFonts w:ascii="Arial" w:hAnsi="Arial"/>
          <w:sz w:val="20"/>
        </w:rPr>
        <w:t>2022.</w:t>
      </w:r>
    </w:p>
    <w:p>
      <w:pPr>
        <w:pStyle w:val="ListParagraph"/>
        <w:numPr>
          <w:ilvl w:val="0"/>
          <w:numId w:val="6"/>
        </w:numPr>
        <w:tabs>
          <w:tab w:pos="1121" w:val="left" w:leader="none"/>
          <w:tab w:pos="1122" w:val="left" w:leader="none"/>
        </w:tabs>
        <w:spacing w:line="233" w:lineRule="exact" w:before="0" w:after="0"/>
        <w:ind w:left="1122" w:right="0" w:hanging="361"/>
        <w:jc w:val="left"/>
        <w:rPr>
          <w:rFonts w:ascii="Arial" w:hAnsi="Arial"/>
          <w:sz w:val="20"/>
        </w:rPr>
      </w:pPr>
      <w:r>
        <w:rPr>
          <w:rFonts w:ascii="Arial" w:hAnsi="Arial"/>
          <w:sz w:val="20"/>
        </w:rPr>
        <w:t>Tramitación</w:t>
      </w:r>
      <w:r>
        <w:rPr>
          <w:rFonts w:ascii="Arial" w:hAnsi="Arial"/>
          <w:spacing w:val="-6"/>
          <w:sz w:val="20"/>
        </w:rPr>
        <w:t> </w:t>
      </w:r>
      <w:r>
        <w:rPr>
          <w:rFonts w:ascii="Arial" w:hAnsi="Arial"/>
          <w:sz w:val="20"/>
        </w:rPr>
        <w:t>de</w:t>
      </w:r>
      <w:r>
        <w:rPr>
          <w:rFonts w:ascii="Arial" w:hAnsi="Arial"/>
          <w:spacing w:val="-5"/>
          <w:sz w:val="20"/>
        </w:rPr>
        <w:t> </w:t>
      </w:r>
      <w:r>
        <w:rPr>
          <w:rFonts w:ascii="Arial" w:hAnsi="Arial"/>
          <w:sz w:val="20"/>
        </w:rPr>
        <w:t>expedientes</w:t>
      </w:r>
      <w:r>
        <w:rPr>
          <w:rFonts w:ascii="Arial" w:hAnsi="Arial"/>
          <w:spacing w:val="-5"/>
          <w:sz w:val="20"/>
        </w:rPr>
        <w:t> </w:t>
      </w:r>
      <w:r>
        <w:rPr>
          <w:rFonts w:ascii="Arial" w:hAnsi="Arial"/>
          <w:sz w:val="20"/>
        </w:rPr>
        <w:t>de</w:t>
      </w:r>
      <w:r>
        <w:rPr>
          <w:rFonts w:ascii="Arial" w:hAnsi="Arial"/>
          <w:spacing w:val="-7"/>
          <w:sz w:val="20"/>
        </w:rPr>
        <w:t> </w:t>
      </w:r>
      <w:r>
        <w:rPr>
          <w:rFonts w:ascii="Arial" w:hAnsi="Arial"/>
          <w:sz w:val="20"/>
        </w:rPr>
        <w:t>aprobación</w:t>
      </w:r>
      <w:r>
        <w:rPr>
          <w:rFonts w:ascii="Arial" w:hAnsi="Arial"/>
          <w:spacing w:val="-7"/>
          <w:sz w:val="20"/>
        </w:rPr>
        <w:t> </w:t>
      </w:r>
      <w:r>
        <w:rPr>
          <w:rFonts w:ascii="Arial" w:hAnsi="Arial"/>
          <w:sz w:val="20"/>
        </w:rPr>
        <w:t>y</w:t>
      </w:r>
      <w:r>
        <w:rPr>
          <w:rFonts w:ascii="Arial" w:hAnsi="Arial"/>
          <w:spacing w:val="-5"/>
          <w:sz w:val="20"/>
        </w:rPr>
        <w:t> </w:t>
      </w:r>
      <w:r>
        <w:rPr>
          <w:rFonts w:ascii="Arial" w:hAnsi="Arial"/>
          <w:sz w:val="20"/>
        </w:rPr>
        <w:t>modificación</w:t>
      </w:r>
      <w:r>
        <w:rPr>
          <w:rFonts w:ascii="Arial" w:hAnsi="Arial"/>
          <w:spacing w:val="-7"/>
          <w:sz w:val="20"/>
        </w:rPr>
        <w:t> </w:t>
      </w:r>
      <w:r>
        <w:rPr>
          <w:rFonts w:ascii="Arial" w:hAnsi="Arial"/>
          <w:sz w:val="20"/>
        </w:rPr>
        <w:t>de</w:t>
      </w:r>
      <w:r>
        <w:rPr>
          <w:rFonts w:ascii="Arial" w:hAnsi="Arial"/>
          <w:spacing w:val="-6"/>
          <w:sz w:val="20"/>
        </w:rPr>
        <w:t> </w:t>
      </w:r>
      <w:r>
        <w:rPr>
          <w:rFonts w:ascii="Arial" w:hAnsi="Arial"/>
          <w:sz w:val="20"/>
        </w:rPr>
        <w:t>Ordenanzas</w:t>
      </w:r>
      <w:r>
        <w:rPr>
          <w:rFonts w:ascii="Arial" w:hAnsi="Arial"/>
          <w:spacing w:val="-5"/>
          <w:sz w:val="20"/>
        </w:rPr>
        <w:t> </w:t>
      </w:r>
      <w:r>
        <w:rPr>
          <w:rFonts w:ascii="Arial" w:hAnsi="Arial"/>
          <w:sz w:val="20"/>
        </w:rPr>
        <w:t>fiscales.</w:t>
      </w:r>
    </w:p>
    <w:p>
      <w:pPr>
        <w:pStyle w:val="ListParagraph"/>
        <w:numPr>
          <w:ilvl w:val="0"/>
          <w:numId w:val="6"/>
        </w:numPr>
        <w:tabs>
          <w:tab w:pos="1121" w:val="left" w:leader="none"/>
          <w:tab w:pos="1122" w:val="left" w:leader="none"/>
        </w:tabs>
        <w:spacing w:line="233" w:lineRule="exact" w:before="0" w:after="0"/>
        <w:ind w:left="1122" w:right="0" w:hanging="361"/>
        <w:jc w:val="left"/>
        <w:rPr>
          <w:rFonts w:ascii="Arial" w:hAnsi="Arial"/>
          <w:sz w:val="20"/>
        </w:rPr>
      </w:pPr>
      <w:r>
        <w:rPr>
          <w:rFonts w:ascii="Arial" w:hAnsi="Arial"/>
          <w:sz w:val="20"/>
        </w:rPr>
        <w:t>Elaborar</w:t>
      </w:r>
      <w:r>
        <w:rPr>
          <w:rFonts w:ascii="Arial" w:hAnsi="Arial"/>
          <w:spacing w:val="-3"/>
          <w:sz w:val="20"/>
        </w:rPr>
        <w:t> </w:t>
      </w:r>
      <w:r>
        <w:rPr>
          <w:rFonts w:ascii="Arial" w:hAnsi="Arial"/>
          <w:sz w:val="20"/>
        </w:rPr>
        <w:t>el</w:t>
      </w:r>
      <w:r>
        <w:rPr>
          <w:rFonts w:ascii="Arial" w:hAnsi="Arial"/>
          <w:spacing w:val="-4"/>
          <w:sz w:val="20"/>
        </w:rPr>
        <w:t> </w:t>
      </w:r>
      <w:r>
        <w:rPr>
          <w:rFonts w:ascii="Arial" w:hAnsi="Arial"/>
          <w:sz w:val="20"/>
        </w:rPr>
        <w:t>presupuesto</w:t>
      </w:r>
      <w:r>
        <w:rPr>
          <w:rFonts w:ascii="Arial" w:hAnsi="Arial"/>
          <w:spacing w:val="-6"/>
          <w:sz w:val="20"/>
        </w:rPr>
        <w:t> </w:t>
      </w:r>
      <w:r>
        <w:rPr>
          <w:rFonts w:ascii="Arial" w:hAnsi="Arial"/>
          <w:sz w:val="20"/>
        </w:rPr>
        <w:t>de</w:t>
      </w:r>
      <w:r>
        <w:rPr>
          <w:rFonts w:ascii="Arial" w:hAnsi="Arial"/>
          <w:spacing w:val="-3"/>
          <w:sz w:val="20"/>
        </w:rPr>
        <w:t> </w:t>
      </w:r>
      <w:r>
        <w:rPr>
          <w:rFonts w:ascii="Arial" w:hAnsi="Arial"/>
          <w:sz w:val="20"/>
        </w:rPr>
        <w:t>ingresos</w:t>
      </w:r>
      <w:r>
        <w:rPr>
          <w:rFonts w:ascii="Arial" w:hAnsi="Arial"/>
          <w:spacing w:val="-4"/>
          <w:sz w:val="20"/>
        </w:rPr>
        <w:t> </w:t>
      </w:r>
      <w:r>
        <w:rPr>
          <w:rFonts w:ascii="Arial" w:hAnsi="Arial"/>
          <w:sz w:val="20"/>
        </w:rPr>
        <w:t>y</w:t>
      </w:r>
      <w:r>
        <w:rPr>
          <w:rFonts w:ascii="Arial" w:hAnsi="Arial"/>
          <w:spacing w:val="-5"/>
          <w:sz w:val="20"/>
        </w:rPr>
        <w:t> </w:t>
      </w:r>
      <w:r>
        <w:rPr>
          <w:rFonts w:ascii="Arial" w:hAnsi="Arial"/>
          <w:sz w:val="20"/>
        </w:rPr>
        <w:t>el</w:t>
      </w:r>
      <w:r>
        <w:rPr>
          <w:rFonts w:ascii="Arial" w:hAnsi="Arial"/>
          <w:spacing w:val="-4"/>
          <w:sz w:val="20"/>
        </w:rPr>
        <w:t> </w:t>
      </w:r>
      <w:r>
        <w:rPr>
          <w:rFonts w:ascii="Arial" w:hAnsi="Arial"/>
          <w:sz w:val="20"/>
        </w:rPr>
        <w:t>documento</w:t>
      </w:r>
      <w:r>
        <w:rPr>
          <w:rFonts w:ascii="Arial" w:hAnsi="Arial"/>
          <w:spacing w:val="-5"/>
          <w:sz w:val="20"/>
        </w:rPr>
        <w:t> </w:t>
      </w:r>
      <w:r>
        <w:rPr>
          <w:rFonts w:ascii="Arial" w:hAnsi="Arial"/>
          <w:sz w:val="20"/>
        </w:rPr>
        <w:t>anexo</w:t>
      </w:r>
      <w:r>
        <w:rPr>
          <w:rFonts w:ascii="Arial" w:hAnsi="Arial"/>
          <w:spacing w:val="-5"/>
          <w:sz w:val="20"/>
        </w:rPr>
        <w:t> </w:t>
      </w:r>
      <w:r>
        <w:rPr>
          <w:rFonts w:ascii="Arial" w:hAnsi="Arial"/>
          <w:sz w:val="20"/>
        </w:rPr>
        <w:t>de</w:t>
      </w:r>
      <w:r>
        <w:rPr>
          <w:rFonts w:ascii="Arial" w:hAnsi="Arial"/>
          <w:spacing w:val="-6"/>
          <w:sz w:val="20"/>
        </w:rPr>
        <w:t> </w:t>
      </w:r>
      <w:r>
        <w:rPr>
          <w:rFonts w:ascii="Arial" w:hAnsi="Arial"/>
          <w:sz w:val="20"/>
        </w:rPr>
        <w:t>beneficios</w:t>
      </w:r>
      <w:r>
        <w:rPr>
          <w:rFonts w:ascii="Arial" w:hAnsi="Arial"/>
          <w:spacing w:val="-4"/>
          <w:sz w:val="20"/>
        </w:rPr>
        <w:t> </w:t>
      </w:r>
      <w:r>
        <w:rPr>
          <w:rFonts w:ascii="Arial" w:hAnsi="Arial"/>
          <w:sz w:val="20"/>
        </w:rPr>
        <w:t>fiscales.</w:t>
      </w:r>
    </w:p>
    <w:p>
      <w:pPr>
        <w:pStyle w:val="ListParagraph"/>
        <w:numPr>
          <w:ilvl w:val="0"/>
          <w:numId w:val="6"/>
        </w:numPr>
        <w:tabs>
          <w:tab w:pos="1121" w:val="left" w:leader="none"/>
          <w:tab w:pos="1122" w:val="left" w:leader="none"/>
        </w:tabs>
        <w:spacing w:line="233" w:lineRule="exact" w:before="0" w:after="0"/>
        <w:ind w:left="1122" w:right="0" w:hanging="361"/>
        <w:jc w:val="left"/>
        <w:rPr>
          <w:rFonts w:ascii="Arial" w:hAnsi="Arial"/>
          <w:sz w:val="20"/>
        </w:rPr>
      </w:pPr>
      <w:r>
        <w:rPr>
          <w:rFonts w:ascii="Arial" w:hAnsi="Arial"/>
          <w:sz w:val="20"/>
        </w:rPr>
        <w:t>Pago de</w:t>
      </w:r>
      <w:r>
        <w:rPr>
          <w:rFonts w:ascii="Arial" w:hAnsi="Arial"/>
          <w:spacing w:val="-1"/>
          <w:sz w:val="20"/>
        </w:rPr>
        <w:t> </w:t>
      </w:r>
      <w:r>
        <w:rPr>
          <w:rFonts w:ascii="Arial" w:hAnsi="Arial"/>
          <w:sz w:val="20"/>
        </w:rPr>
        <w:t>obligaciones.</w:t>
      </w:r>
    </w:p>
    <w:p>
      <w:pPr>
        <w:pStyle w:val="ListParagraph"/>
        <w:numPr>
          <w:ilvl w:val="0"/>
          <w:numId w:val="6"/>
        </w:numPr>
        <w:tabs>
          <w:tab w:pos="1121" w:val="left" w:leader="none"/>
          <w:tab w:pos="1122" w:val="left" w:leader="none"/>
        </w:tabs>
        <w:spacing w:line="238" w:lineRule="exact" w:before="0" w:after="0"/>
        <w:ind w:left="1122" w:right="0" w:hanging="361"/>
        <w:jc w:val="left"/>
        <w:rPr>
          <w:rFonts w:ascii="Arial" w:hAnsi="Arial"/>
          <w:sz w:val="20"/>
        </w:rPr>
      </w:pPr>
      <w:r>
        <w:rPr>
          <w:rFonts w:ascii="Arial" w:hAnsi="Arial"/>
          <w:sz w:val="20"/>
        </w:rPr>
        <w:t>Custodia de</w:t>
      </w:r>
      <w:r>
        <w:rPr>
          <w:rFonts w:ascii="Arial" w:hAnsi="Arial"/>
          <w:spacing w:val="-3"/>
          <w:sz w:val="20"/>
        </w:rPr>
        <w:t> </w:t>
      </w:r>
      <w:r>
        <w:rPr>
          <w:rFonts w:ascii="Arial" w:hAnsi="Arial"/>
          <w:sz w:val="20"/>
        </w:rPr>
        <w:t>avales.</w:t>
      </w:r>
    </w:p>
    <w:p>
      <w:pPr>
        <w:pStyle w:val="BodyText"/>
        <w:rPr>
          <w:rFonts w:ascii="Arial"/>
          <w:sz w:val="22"/>
        </w:rPr>
      </w:pPr>
    </w:p>
    <w:p>
      <w:pPr>
        <w:spacing w:before="195"/>
        <w:ind w:left="402" w:right="0" w:firstLine="0"/>
        <w:jc w:val="both"/>
        <w:rPr>
          <w:rFonts w:ascii="Arial" w:hAnsi="Arial"/>
          <w:sz w:val="20"/>
        </w:rPr>
      </w:pPr>
      <w:r>
        <w:rPr>
          <w:rFonts w:ascii="Arial" w:hAnsi="Arial"/>
          <w:sz w:val="20"/>
        </w:rPr>
        <w:t>Los resultados de la recaudación del ejercicio 2025 han sido los siguientes:</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30"/>
        </w:rPr>
      </w:pPr>
    </w:p>
    <w:p>
      <w:pPr>
        <w:spacing w:before="1"/>
        <w:ind w:left="410" w:right="274" w:firstLine="0"/>
        <w:jc w:val="center"/>
        <w:rPr>
          <w:rFonts w:ascii="Arial"/>
          <w:b/>
          <w:sz w:val="20"/>
        </w:rPr>
      </w:pPr>
      <w:r>
        <w:rPr>
          <w:rFonts w:ascii="Arial"/>
          <w:b/>
          <w:sz w:val="20"/>
          <w:u w:val="thick"/>
        </w:rPr>
        <w:t>IMPORTE BRUTO Y NETO RECAUDADO POR CONCEPTO</w:t>
      </w:r>
    </w:p>
    <w:p>
      <w:pPr>
        <w:pStyle w:val="BodyText"/>
        <w:rPr>
          <w:rFonts w:ascii="Arial"/>
          <w:b/>
          <w:sz w:val="20"/>
        </w:rPr>
      </w:pPr>
    </w:p>
    <w:p>
      <w:pPr>
        <w:pStyle w:val="BodyText"/>
        <w:rPr>
          <w:rFonts w:ascii="Arial"/>
          <w:b/>
          <w:sz w:val="20"/>
        </w:rPr>
      </w:pPr>
    </w:p>
    <w:p>
      <w:pPr>
        <w:pStyle w:val="BodyText"/>
        <w:spacing w:before="11"/>
        <w:rPr>
          <w:rFonts w:ascii="Arial"/>
          <w:b/>
          <w:sz w:val="19"/>
        </w:rPr>
      </w:pPr>
    </w:p>
    <w:p>
      <w:pPr>
        <w:spacing w:before="0"/>
        <w:ind w:left="402" w:right="0" w:firstLine="0"/>
        <w:jc w:val="left"/>
        <w:rPr>
          <w:rFonts w:ascii="Arial" w:hAnsi="Arial"/>
          <w:b/>
          <w:sz w:val="20"/>
        </w:rPr>
      </w:pPr>
      <w:r>
        <w:rPr>
          <w:rFonts w:ascii="Arial" w:hAnsi="Arial"/>
          <w:b/>
          <w:sz w:val="20"/>
        </w:rPr>
        <w:t>IAE - Impuesto de Actividades Económicas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1464"/>
      </w:tblGrid>
      <w:tr>
        <w:trPr>
          <w:trHeight w:val="262" w:hRule="atLeast"/>
        </w:trPr>
        <w:tc>
          <w:tcPr>
            <w:tcW w:w="4313" w:type="dxa"/>
          </w:tcPr>
          <w:p>
            <w:pPr>
              <w:pStyle w:val="TableParagraph"/>
              <w:spacing w:line="223" w:lineRule="exact"/>
              <w:ind w:left="54"/>
              <w:rPr>
                <w:i/>
                <w:sz w:val="20"/>
              </w:rPr>
            </w:pPr>
            <w:r>
              <w:rPr>
                <w:i/>
                <w:sz w:val="20"/>
              </w:rPr>
              <w:t>RB</w:t>
            </w:r>
          </w:p>
        </w:tc>
        <w:tc>
          <w:tcPr>
            <w:tcW w:w="1464" w:type="dxa"/>
          </w:tcPr>
          <w:p>
            <w:pPr>
              <w:pStyle w:val="TableParagraph"/>
              <w:spacing w:line="240" w:lineRule="auto"/>
              <w:rPr>
                <w:rFonts w:ascii="Times New Roman"/>
                <w:sz w:val="18"/>
              </w:rPr>
            </w:pPr>
          </w:p>
        </w:tc>
      </w:tr>
      <w:tr>
        <w:trPr>
          <w:trHeight w:val="273" w:hRule="atLeast"/>
        </w:trPr>
        <w:tc>
          <w:tcPr>
            <w:tcW w:w="4313" w:type="dxa"/>
          </w:tcPr>
          <w:p>
            <w:pPr>
              <w:pStyle w:val="TableParagraph"/>
              <w:spacing w:line="221" w:lineRule="exact" w:before="32"/>
              <w:ind w:left="50"/>
              <w:rPr>
                <w:sz w:val="20"/>
              </w:rPr>
            </w:pPr>
            <w:r>
              <w:rPr>
                <w:sz w:val="20"/>
              </w:rPr>
              <w:t>Importe bruto Padrón Fiscal</w:t>
            </w:r>
          </w:p>
        </w:tc>
        <w:tc>
          <w:tcPr>
            <w:tcW w:w="1464" w:type="dxa"/>
          </w:tcPr>
          <w:p>
            <w:pPr>
              <w:pStyle w:val="TableParagraph"/>
              <w:spacing w:line="221" w:lineRule="exact" w:before="32"/>
              <w:ind w:right="53"/>
              <w:jc w:val="right"/>
              <w:rPr>
                <w:i/>
                <w:sz w:val="20"/>
              </w:rPr>
            </w:pPr>
            <w:r>
              <w:rPr>
                <w:i/>
                <w:sz w:val="20"/>
              </w:rPr>
              <w:t>753.891,19</w:t>
            </w:r>
          </w:p>
        </w:tc>
      </w:tr>
      <w:tr>
        <w:trPr>
          <w:trHeight w:val="245" w:hRule="atLeast"/>
        </w:trPr>
        <w:tc>
          <w:tcPr>
            <w:tcW w:w="4313" w:type="dxa"/>
          </w:tcPr>
          <w:p>
            <w:pPr>
              <w:pStyle w:val="TableParagraph"/>
              <w:spacing w:line="222" w:lineRule="exact" w:before="4"/>
              <w:ind w:left="50"/>
              <w:rPr>
                <w:sz w:val="20"/>
              </w:rPr>
            </w:pPr>
            <w:r>
              <w:rPr>
                <w:sz w:val="20"/>
              </w:rPr>
              <w:t>Anulaciones</w:t>
            </w:r>
          </w:p>
        </w:tc>
        <w:tc>
          <w:tcPr>
            <w:tcW w:w="1464" w:type="dxa"/>
          </w:tcPr>
          <w:p>
            <w:pPr>
              <w:pStyle w:val="TableParagraph"/>
              <w:spacing w:line="222" w:lineRule="exact" w:before="4"/>
              <w:ind w:right="48"/>
              <w:jc w:val="right"/>
              <w:rPr>
                <w:i/>
                <w:sz w:val="20"/>
              </w:rPr>
            </w:pPr>
            <w:r>
              <w:rPr>
                <w:i/>
                <w:w w:val="95"/>
                <w:sz w:val="20"/>
              </w:rPr>
              <w:t>0,00</w:t>
            </w:r>
          </w:p>
        </w:tc>
      </w:tr>
      <w:tr>
        <w:trPr>
          <w:trHeight w:val="248" w:hRule="atLeast"/>
        </w:trPr>
        <w:tc>
          <w:tcPr>
            <w:tcW w:w="4313" w:type="dxa"/>
          </w:tcPr>
          <w:p>
            <w:pPr>
              <w:pStyle w:val="TableParagraph"/>
              <w:spacing w:line="223" w:lineRule="exact" w:before="5"/>
              <w:ind w:left="50"/>
              <w:rPr>
                <w:sz w:val="20"/>
              </w:rPr>
            </w:pPr>
            <w:r>
              <w:rPr>
                <w:sz w:val="20"/>
              </w:rPr>
              <w:t>Importe neto Padrón Fiscal</w:t>
            </w:r>
          </w:p>
        </w:tc>
        <w:tc>
          <w:tcPr>
            <w:tcW w:w="1464" w:type="dxa"/>
          </w:tcPr>
          <w:p>
            <w:pPr>
              <w:pStyle w:val="TableParagraph"/>
              <w:spacing w:line="223" w:lineRule="exact" w:before="5"/>
              <w:ind w:right="48"/>
              <w:jc w:val="right"/>
              <w:rPr>
                <w:i/>
                <w:sz w:val="20"/>
              </w:rPr>
            </w:pPr>
            <w:r>
              <w:rPr>
                <w:i/>
                <w:sz w:val="20"/>
              </w:rPr>
              <w:t>753.891,19</w:t>
            </w:r>
          </w:p>
        </w:tc>
      </w:tr>
      <w:tr>
        <w:trPr>
          <w:trHeight w:val="249" w:hRule="atLeast"/>
        </w:trPr>
        <w:tc>
          <w:tcPr>
            <w:tcW w:w="4313" w:type="dxa"/>
          </w:tcPr>
          <w:p>
            <w:pPr>
              <w:pStyle w:val="TableParagraph"/>
              <w:spacing w:line="223" w:lineRule="exact" w:before="6"/>
              <w:ind w:left="50"/>
              <w:rPr>
                <w:sz w:val="20"/>
              </w:rPr>
            </w:pPr>
            <w:r>
              <w:rPr>
                <w:sz w:val="20"/>
              </w:rPr>
              <w:t>Importe Recaudado</w:t>
            </w:r>
          </w:p>
        </w:tc>
        <w:tc>
          <w:tcPr>
            <w:tcW w:w="1464" w:type="dxa"/>
          </w:tcPr>
          <w:p>
            <w:pPr>
              <w:pStyle w:val="TableParagraph"/>
              <w:spacing w:line="223" w:lineRule="exact" w:before="6"/>
              <w:ind w:right="48"/>
              <w:jc w:val="right"/>
              <w:rPr>
                <w:i/>
                <w:sz w:val="20"/>
              </w:rPr>
            </w:pPr>
            <w:r>
              <w:rPr>
                <w:i/>
                <w:sz w:val="20"/>
              </w:rPr>
              <w:t>670.961,76</w:t>
            </w:r>
          </w:p>
        </w:tc>
      </w:tr>
      <w:tr>
        <w:trPr>
          <w:trHeight w:val="247" w:hRule="atLeast"/>
        </w:trPr>
        <w:tc>
          <w:tcPr>
            <w:tcW w:w="4313" w:type="dxa"/>
          </w:tcPr>
          <w:p>
            <w:pPr>
              <w:pStyle w:val="TableParagraph"/>
              <w:spacing w:line="221" w:lineRule="exact" w:before="6"/>
              <w:ind w:left="50"/>
              <w:rPr>
                <w:sz w:val="20"/>
              </w:rPr>
            </w:pPr>
            <w:r>
              <w:rPr>
                <w:sz w:val="20"/>
              </w:rPr>
              <w:t>% recaudado s/Importe bruto Padrón Fiscal</w:t>
            </w:r>
          </w:p>
        </w:tc>
        <w:tc>
          <w:tcPr>
            <w:tcW w:w="1464" w:type="dxa"/>
          </w:tcPr>
          <w:p>
            <w:pPr>
              <w:pStyle w:val="TableParagraph"/>
              <w:spacing w:line="221" w:lineRule="exact" w:before="6"/>
              <w:ind w:right="48"/>
              <w:jc w:val="right"/>
              <w:rPr>
                <w:i/>
                <w:sz w:val="20"/>
              </w:rPr>
            </w:pPr>
            <w:r>
              <w:rPr>
                <w:i/>
                <w:sz w:val="20"/>
              </w:rPr>
              <w:t>89,00%</w:t>
            </w:r>
          </w:p>
        </w:tc>
      </w:tr>
      <w:tr>
        <w:trPr>
          <w:trHeight w:val="233" w:hRule="atLeast"/>
        </w:trPr>
        <w:tc>
          <w:tcPr>
            <w:tcW w:w="4313" w:type="dxa"/>
          </w:tcPr>
          <w:p>
            <w:pPr>
              <w:pStyle w:val="TableParagraph"/>
              <w:spacing w:before="4"/>
              <w:ind w:left="50"/>
              <w:rPr>
                <w:sz w:val="20"/>
              </w:rPr>
            </w:pPr>
            <w:r>
              <w:rPr>
                <w:sz w:val="20"/>
              </w:rPr>
              <w:t>% recaudado s/Importe neto Padrón Fiscal</w:t>
            </w:r>
          </w:p>
        </w:tc>
        <w:tc>
          <w:tcPr>
            <w:tcW w:w="1464" w:type="dxa"/>
          </w:tcPr>
          <w:p>
            <w:pPr>
              <w:pStyle w:val="TableParagraph"/>
              <w:spacing w:before="4"/>
              <w:ind w:right="48"/>
              <w:jc w:val="right"/>
              <w:rPr>
                <w:i/>
                <w:sz w:val="20"/>
              </w:rPr>
            </w:pPr>
            <w:r>
              <w:rPr>
                <w:i/>
                <w:sz w:val="20"/>
              </w:rPr>
              <w:t>89,00%</w:t>
            </w:r>
          </w:p>
        </w:tc>
      </w:tr>
    </w:tbl>
    <w:p>
      <w:pPr>
        <w:spacing w:after="0"/>
        <w:jc w:val="right"/>
        <w:rPr>
          <w:sz w:val="20"/>
        </w:rPr>
        <w:sectPr>
          <w:pgSz w:w="11910" w:h="16840"/>
          <w:pgMar w:header="1217" w:footer="0" w:top="2740" w:bottom="280" w:left="1300" w:right="1440"/>
        </w:sectPr>
      </w:pPr>
    </w:p>
    <w:p>
      <w:pPr>
        <w:pStyle w:val="BodyText"/>
        <w:rPr>
          <w:rFonts w:ascii="Arial"/>
          <w:b/>
          <w:sz w:val="20"/>
        </w:rPr>
      </w:pPr>
    </w:p>
    <w:p>
      <w:pPr>
        <w:pStyle w:val="BodyText"/>
        <w:rPr>
          <w:rFonts w:ascii="Arial"/>
          <w:b/>
          <w:sz w:val="19"/>
        </w:rPr>
      </w:pPr>
    </w:p>
    <w:p>
      <w:pPr>
        <w:spacing w:before="93"/>
        <w:ind w:left="402" w:right="0" w:firstLine="0"/>
        <w:jc w:val="left"/>
        <w:rPr>
          <w:rFonts w:ascii="Arial"/>
          <w:b/>
          <w:sz w:val="20"/>
        </w:rPr>
      </w:pPr>
      <w:r>
        <w:rPr>
          <w:rFonts w:ascii="Arial"/>
          <w:b/>
          <w:sz w:val="20"/>
        </w:rPr>
        <w:t>IBIRCAT - Impuesto Bienes Rustica CAT</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1464"/>
      </w:tblGrid>
      <w:tr>
        <w:trPr>
          <w:trHeight w:val="262" w:hRule="atLeast"/>
        </w:trPr>
        <w:tc>
          <w:tcPr>
            <w:tcW w:w="4313" w:type="dxa"/>
          </w:tcPr>
          <w:p>
            <w:pPr>
              <w:pStyle w:val="TableParagraph"/>
              <w:spacing w:line="223" w:lineRule="exact"/>
              <w:ind w:left="54"/>
              <w:rPr>
                <w:i/>
                <w:sz w:val="20"/>
              </w:rPr>
            </w:pPr>
            <w:r>
              <w:rPr>
                <w:i/>
                <w:sz w:val="20"/>
              </w:rPr>
              <w:t>RB</w:t>
            </w:r>
          </w:p>
        </w:tc>
        <w:tc>
          <w:tcPr>
            <w:tcW w:w="1464" w:type="dxa"/>
          </w:tcPr>
          <w:p>
            <w:pPr>
              <w:pStyle w:val="TableParagraph"/>
              <w:spacing w:line="240" w:lineRule="auto"/>
              <w:rPr>
                <w:rFonts w:ascii="Times New Roman"/>
                <w:sz w:val="18"/>
              </w:rPr>
            </w:pPr>
          </w:p>
        </w:tc>
      </w:tr>
      <w:tr>
        <w:trPr>
          <w:trHeight w:val="273" w:hRule="atLeast"/>
        </w:trPr>
        <w:tc>
          <w:tcPr>
            <w:tcW w:w="4313" w:type="dxa"/>
          </w:tcPr>
          <w:p>
            <w:pPr>
              <w:pStyle w:val="TableParagraph"/>
              <w:spacing w:line="221" w:lineRule="exact" w:before="32"/>
              <w:ind w:left="50"/>
              <w:rPr>
                <w:sz w:val="20"/>
              </w:rPr>
            </w:pPr>
            <w:r>
              <w:rPr>
                <w:sz w:val="20"/>
              </w:rPr>
              <w:t>Importe bruto Padrón Fiscal</w:t>
            </w:r>
          </w:p>
        </w:tc>
        <w:tc>
          <w:tcPr>
            <w:tcW w:w="1464" w:type="dxa"/>
          </w:tcPr>
          <w:p>
            <w:pPr>
              <w:pStyle w:val="TableParagraph"/>
              <w:spacing w:line="221" w:lineRule="exact" w:before="32"/>
              <w:ind w:right="53"/>
              <w:jc w:val="right"/>
              <w:rPr>
                <w:i/>
                <w:sz w:val="20"/>
              </w:rPr>
            </w:pPr>
            <w:r>
              <w:rPr>
                <w:i/>
                <w:sz w:val="20"/>
              </w:rPr>
              <w:t>349.423,20</w:t>
            </w:r>
          </w:p>
        </w:tc>
      </w:tr>
      <w:tr>
        <w:trPr>
          <w:trHeight w:val="244" w:hRule="atLeast"/>
        </w:trPr>
        <w:tc>
          <w:tcPr>
            <w:tcW w:w="4313" w:type="dxa"/>
          </w:tcPr>
          <w:p>
            <w:pPr>
              <w:pStyle w:val="TableParagraph"/>
              <w:spacing w:line="221" w:lineRule="exact" w:before="4"/>
              <w:ind w:left="50"/>
              <w:rPr>
                <w:sz w:val="20"/>
              </w:rPr>
            </w:pPr>
            <w:r>
              <w:rPr>
                <w:sz w:val="20"/>
              </w:rPr>
              <w:t>Anulaciones</w:t>
            </w:r>
          </w:p>
        </w:tc>
        <w:tc>
          <w:tcPr>
            <w:tcW w:w="1464" w:type="dxa"/>
          </w:tcPr>
          <w:p>
            <w:pPr>
              <w:pStyle w:val="TableParagraph"/>
              <w:spacing w:line="221" w:lineRule="exact" w:before="4"/>
              <w:ind w:right="48"/>
              <w:jc w:val="right"/>
              <w:rPr>
                <w:i/>
                <w:sz w:val="20"/>
              </w:rPr>
            </w:pPr>
            <w:r>
              <w:rPr>
                <w:i/>
                <w:sz w:val="20"/>
              </w:rPr>
              <w:t>14.512,27</w:t>
            </w:r>
          </w:p>
        </w:tc>
      </w:tr>
      <w:tr>
        <w:trPr>
          <w:trHeight w:val="248" w:hRule="atLeast"/>
        </w:trPr>
        <w:tc>
          <w:tcPr>
            <w:tcW w:w="4313" w:type="dxa"/>
          </w:tcPr>
          <w:p>
            <w:pPr>
              <w:pStyle w:val="TableParagraph"/>
              <w:spacing w:line="225" w:lineRule="exact" w:before="4"/>
              <w:ind w:left="50"/>
              <w:rPr>
                <w:sz w:val="20"/>
              </w:rPr>
            </w:pPr>
            <w:r>
              <w:rPr>
                <w:sz w:val="20"/>
              </w:rPr>
              <w:t>Importe neto Padrón Fiscal</w:t>
            </w:r>
          </w:p>
        </w:tc>
        <w:tc>
          <w:tcPr>
            <w:tcW w:w="1464" w:type="dxa"/>
          </w:tcPr>
          <w:p>
            <w:pPr>
              <w:pStyle w:val="TableParagraph"/>
              <w:spacing w:line="225" w:lineRule="exact" w:before="4"/>
              <w:ind w:right="48"/>
              <w:jc w:val="right"/>
              <w:rPr>
                <w:i/>
                <w:sz w:val="20"/>
              </w:rPr>
            </w:pPr>
            <w:r>
              <w:rPr>
                <w:i/>
                <w:sz w:val="20"/>
              </w:rPr>
              <w:t>334.910,93</w:t>
            </w:r>
          </w:p>
        </w:tc>
      </w:tr>
      <w:tr>
        <w:trPr>
          <w:trHeight w:val="250" w:hRule="atLeast"/>
        </w:trPr>
        <w:tc>
          <w:tcPr>
            <w:tcW w:w="4313" w:type="dxa"/>
          </w:tcPr>
          <w:p>
            <w:pPr>
              <w:pStyle w:val="TableParagraph"/>
              <w:spacing w:line="223" w:lineRule="exact" w:before="7"/>
              <w:ind w:left="50"/>
              <w:rPr>
                <w:sz w:val="20"/>
              </w:rPr>
            </w:pPr>
            <w:r>
              <w:rPr>
                <w:sz w:val="20"/>
              </w:rPr>
              <w:t>Importe Recaudado</w:t>
            </w:r>
          </w:p>
        </w:tc>
        <w:tc>
          <w:tcPr>
            <w:tcW w:w="1464" w:type="dxa"/>
          </w:tcPr>
          <w:p>
            <w:pPr>
              <w:pStyle w:val="TableParagraph"/>
              <w:spacing w:line="223" w:lineRule="exact" w:before="7"/>
              <w:ind w:right="48"/>
              <w:jc w:val="right"/>
              <w:rPr>
                <w:i/>
                <w:sz w:val="20"/>
              </w:rPr>
            </w:pPr>
            <w:r>
              <w:rPr>
                <w:i/>
                <w:sz w:val="20"/>
              </w:rPr>
              <w:t>287.882,59</w:t>
            </w:r>
          </w:p>
        </w:tc>
      </w:tr>
      <w:tr>
        <w:trPr>
          <w:trHeight w:val="247" w:hRule="atLeast"/>
        </w:trPr>
        <w:tc>
          <w:tcPr>
            <w:tcW w:w="4313" w:type="dxa"/>
          </w:tcPr>
          <w:p>
            <w:pPr>
              <w:pStyle w:val="TableParagraph"/>
              <w:spacing w:line="221" w:lineRule="exact" w:before="6"/>
              <w:ind w:left="50"/>
              <w:rPr>
                <w:sz w:val="20"/>
              </w:rPr>
            </w:pPr>
            <w:r>
              <w:rPr>
                <w:sz w:val="20"/>
              </w:rPr>
              <w:t>% recaudado s/Importe bruto Padrón Fiscal</w:t>
            </w:r>
          </w:p>
        </w:tc>
        <w:tc>
          <w:tcPr>
            <w:tcW w:w="1464" w:type="dxa"/>
          </w:tcPr>
          <w:p>
            <w:pPr>
              <w:pStyle w:val="TableParagraph"/>
              <w:spacing w:line="221" w:lineRule="exact" w:before="6"/>
              <w:ind w:right="48"/>
              <w:jc w:val="right"/>
              <w:rPr>
                <w:i/>
                <w:sz w:val="20"/>
              </w:rPr>
            </w:pPr>
            <w:r>
              <w:rPr>
                <w:i/>
                <w:sz w:val="20"/>
              </w:rPr>
              <w:t>82,39%</w:t>
            </w:r>
          </w:p>
        </w:tc>
      </w:tr>
      <w:tr>
        <w:trPr>
          <w:trHeight w:val="233" w:hRule="atLeast"/>
        </w:trPr>
        <w:tc>
          <w:tcPr>
            <w:tcW w:w="4313" w:type="dxa"/>
          </w:tcPr>
          <w:p>
            <w:pPr>
              <w:pStyle w:val="TableParagraph"/>
              <w:spacing w:before="4"/>
              <w:ind w:left="50"/>
              <w:rPr>
                <w:sz w:val="20"/>
              </w:rPr>
            </w:pPr>
            <w:r>
              <w:rPr>
                <w:sz w:val="20"/>
              </w:rPr>
              <w:t>% recaudado s/Importe neto Padrón Fiscal</w:t>
            </w:r>
          </w:p>
        </w:tc>
        <w:tc>
          <w:tcPr>
            <w:tcW w:w="1464" w:type="dxa"/>
          </w:tcPr>
          <w:p>
            <w:pPr>
              <w:pStyle w:val="TableParagraph"/>
              <w:spacing w:before="4"/>
              <w:ind w:right="48"/>
              <w:jc w:val="right"/>
              <w:rPr>
                <w:i/>
                <w:sz w:val="20"/>
              </w:rPr>
            </w:pPr>
            <w:r>
              <w:rPr>
                <w:i/>
                <w:sz w:val="20"/>
              </w:rPr>
              <w:t>85,96%</w:t>
            </w:r>
          </w:p>
        </w:tc>
      </w:tr>
    </w:tbl>
    <w:p>
      <w:pPr>
        <w:pStyle w:val="BodyText"/>
        <w:rPr>
          <w:rFonts w:ascii="Arial"/>
          <w:b/>
          <w:sz w:val="22"/>
        </w:rPr>
      </w:pPr>
    </w:p>
    <w:p>
      <w:pPr>
        <w:pStyle w:val="BodyText"/>
        <w:rPr>
          <w:rFonts w:ascii="Arial"/>
          <w:b/>
          <w:sz w:val="22"/>
        </w:rPr>
      </w:pPr>
    </w:p>
    <w:p>
      <w:pPr>
        <w:pStyle w:val="BodyText"/>
        <w:spacing w:before="6"/>
        <w:rPr>
          <w:rFonts w:ascii="Arial"/>
          <w:b/>
          <w:sz w:val="19"/>
        </w:rPr>
      </w:pPr>
    </w:p>
    <w:p>
      <w:pPr>
        <w:spacing w:before="0"/>
        <w:ind w:left="402" w:right="0" w:firstLine="0"/>
        <w:jc w:val="left"/>
        <w:rPr>
          <w:rFonts w:ascii="Arial" w:hAnsi="Arial"/>
          <w:b/>
          <w:sz w:val="20"/>
        </w:rPr>
      </w:pPr>
      <w:r>
        <w:rPr>
          <w:rFonts w:ascii="Arial" w:hAnsi="Arial"/>
          <w:b/>
          <w:sz w:val="20"/>
        </w:rPr>
        <w:t>IBIRLIQ-Imp. Bienes Inm. Rústica (Liquidaciones)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5"/>
        <w:gridCol w:w="1353"/>
      </w:tblGrid>
      <w:tr>
        <w:trPr>
          <w:trHeight w:val="262" w:hRule="atLeast"/>
        </w:trPr>
        <w:tc>
          <w:tcPr>
            <w:tcW w:w="4425" w:type="dxa"/>
          </w:tcPr>
          <w:p>
            <w:pPr>
              <w:pStyle w:val="TableParagraph"/>
              <w:spacing w:line="223" w:lineRule="exact"/>
              <w:ind w:left="54"/>
              <w:rPr>
                <w:i/>
                <w:sz w:val="20"/>
              </w:rPr>
            </w:pPr>
            <w:r>
              <w:rPr>
                <w:i/>
                <w:sz w:val="20"/>
              </w:rPr>
              <w:t>ID</w:t>
            </w:r>
          </w:p>
        </w:tc>
        <w:tc>
          <w:tcPr>
            <w:tcW w:w="1353" w:type="dxa"/>
          </w:tcPr>
          <w:p>
            <w:pPr>
              <w:pStyle w:val="TableParagraph"/>
              <w:spacing w:line="240" w:lineRule="auto"/>
              <w:rPr>
                <w:rFonts w:ascii="Times New Roman"/>
                <w:sz w:val="18"/>
              </w:rPr>
            </w:pPr>
          </w:p>
        </w:tc>
      </w:tr>
      <w:tr>
        <w:trPr>
          <w:trHeight w:val="273" w:hRule="atLeast"/>
        </w:trPr>
        <w:tc>
          <w:tcPr>
            <w:tcW w:w="4425" w:type="dxa"/>
          </w:tcPr>
          <w:p>
            <w:pPr>
              <w:pStyle w:val="TableParagraph"/>
              <w:spacing w:line="221" w:lineRule="exact" w:before="32"/>
              <w:ind w:left="50"/>
              <w:rPr>
                <w:sz w:val="20"/>
              </w:rPr>
            </w:pPr>
            <w:r>
              <w:rPr>
                <w:sz w:val="20"/>
              </w:rPr>
              <w:t>Importe bruto Padrón Fiscal</w:t>
            </w:r>
          </w:p>
        </w:tc>
        <w:tc>
          <w:tcPr>
            <w:tcW w:w="1353" w:type="dxa"/>
          </w:tcPr>
          <w:p>
            <w:pPr>
              <w:pStyle w:val="TableParagraph"/>
              <w:spacing w:line="221" w:lineRule="exact" w:before="32"/>
              <w:ind w:right="53"/>
              <w:jc w:val="right"/>
              <w:rPr>
                <w:i/>
                <w:sz w:val="20"/>
              </w:rPr>
            </w:pPr>
            <w:r>
              <w:rPr>
                <w:i/>
                <w:w w:val="95"/>
                <w:sz w:val="20"/>
              </w:rPr>
              <w:t>3.455,85</w:t>
            </w:r>
          </w:p>
        </w:tc>
      </w:tr>
      <w:tr>
        <w:trPr>
          <w:trHeight w:val="246" w:hRule="atLeast"/>
        </w:trPr>
        <w:tc>
          <w:tcPr>
            <w:tcW w:w="4425" w:type="dxa"/>
          </w:tcPr>
          <w:p>
            <w:pPr>
              <w:pStyle w:val="TableParagraph"/>
              <w:spacing w:line="222" w:lineRule="exact" w:before="4"/>
              <w:ind w:left="50"/>
              <w:rPr>
                <w:sz w:val="20"/>
              </w:rPr>
            </w:pPr>
            <w:r>
              <w:rPr>
                <w:sz w:val="20"/>
              </w:rPr>
              <w:t>Anulaciones</w:t>
            </w:r>
          </w:p>
        </w:tc>
        <w:tc>
          <w:tcPr>
            <w:tcW w:w="1353" w:type="dxa"/>
          </w:tcPr>
          <w:p>
            <w:pPr>
              <w:pStyle w:val="TableParagraph"/>
              <w:spacing w:line="222" w:lineRule="exact" w:before="4"/>
              <w:ind w:right="49"/>
              <w:jc w:val="right"/>
              <w:rPr>
                <w:i/>
                <w:sz w:val="20"/>
              </w:rPr>
            </w:pPr>
            <w:r>
              <w:rPr>
                <w:i/>
                <w:w w:val="95"/>
                <w:sz w:val="20"/>
              </w:rPr>
              <w:t>0,00</w:t>
            </w:r>
          </w:p>
        </w:tc>
      </w:tr>
      <w:tr>
        <w:trPr>
          <w:trHeight w:val="248" w:hRule="atLeast"/>
        </w:trPr>
        <w:tc>
          <w:tcPr>
            <w:tcW w:w="4425" w:type="dxa"/>
          </w:tcPr>
          <w:p>
            <w:pPr>
              <w:pStyle w:val="TableParagraph"/>
              <w:spacing w:line="223" w:lineRule="exact" w:before="5"/>
              <w:ind w:left="50"/>
              <w:rPr>
                <w:sz w:val="20"/>
              </w:rPr>
            </w:pPr>
            <w:r>
              <w:rPr>
                <w:sz w:val="20"/>
              </w:rPr>
              <w:t>Importe neto Padrón Fiscal</w:t>
            </w:r>
          </w:p>
        </w:tc>
        <w:tc>
          <w:tcPr>
            <w:tcW w:w="1353" w:type="dxa"/>
          </w:tcPr>
          <w:p>
            <w:pPr>
              <w:pStyle w:val="TableParagraph"/>
              <w:spacing w:line="223" w:lineRule="exact" w:before="5"/>
              <w:ind w:right="48"/>
              <w:jc w:val="right"/>
              <w:rPr>
                <w:i/>
                <w:sz w:val="20"/>
              </w:rPr>
            </w:pPr>
            <w:r>
              <w:rPr>
                <w:i/>
                <w:w w:val="95"/>
                <w:sz w:val="20"/>
              </w:rPr>
              <w:t>3.455,85</w:t>
            </w:r>
          </w:p>
        </w:tc>
      </w:tr>
      <w:tr>
        <w:trPr>
          <w:trHeight w:val="250" w:hRule="atLeast"/>
        </w:trPr>
        <w:tc>
          <w:tcPr>
            <w:tcW w:w="4425" w:type="dxa"/>
          </w:tcPr>
          <w:p>
            <w:pPr>
              <w:pStyle w:val="TableParagraph"/>
              <w:spacing w:line="225" w:lineRule="exact" w:before="6"/>
              <w:ind w:left="50"/>
              <w:rPr>
                <w:sz w:val="20"/>
              </w:rPr>
            </w:pPr>
            <w:r>
              <w:rPr>
                <w:sz w:val="20"/>
              </w:rPr>
              <w:t>Importe Recaudado</w:t>
            </w:r>
          </w:p>
        </w:tc>
        <w:tc>
          <w:tcPr>
            <w:tcW w:w="1353" w:type="dxa"/>
          </w:tcPr>
          <w:p>
            <w:pPr>
              <w:pStyle w:val="TableParagraph"/>
              <w:spacing w:line="225" w:lineRule="exact" w:before="6"/>
              <w:ind w:right="48"/>
              <w:jc w:val="right"/>
              <w:rPr>
                <w:i/>
                <w:sz w:val="20"/>
              </w:rPr>
            </w:pPr>
            <w:r>
              <w:rPr>
                <w:i/>
                <w:w w:val="95"/>
                <w:sz w:val="20"/>
              </w:rPr>
              <w:t>2.319,56</w:t>
            </w:r>
          </w:p>
        </w:tc>
      </w:tr>
      <w:tr>
        <w:trPr>
          <w:trHeight w:val="248" w:hRule="atLeast"/>
        </w:trPr>
        <w:tc>
          <w:tcPr>
            <w:tcW w:w="4425" w:type="dxa"/>
          </w:tcPr>
          <w:p>
            <w:pPr>
              <w:pStyle w:val="TableParagraph"/>
              <w:spacing w:line="221" w:lineRule="exact" w:before="7"/>
              <w:ind w:left="50"/>
              <w:rPr>
                <w:sz w:val="20"/>
              </w:rPr>
            </w:pPr>
            <w:r>
              <w:rPr>
                <w:sz w:val="20"/>
              </w:rPr>
              <w:t>% recaudado s/Importe bruto Padrón Fiscal</w:t>
            </w:r>
          </w:p>
        </w:tc>
        <w:tc>
          <w:tcPr>
            <w:tcW w:w="1353" w:type="dxa"/>
          </w:tcPr>
          <w:p>
            <w:pPr>
              <w:pStyle w:val="TableParagraph"/>
              <w:spacing w:line="221" w:lineRule="exact" w:before="7"/>
              <w:ind w:right="49"/>
              <w:jc w:val="right"/>
              <w:rPr>
                <w:i/>
                <w:sz w:val="20"/>
              </w:rPr>
            </w:pPr>
            <w:r>
              <w:rPr>
                <w:i/>
                <w:sz w:val="20"/>
              </w:rPr>
              <w:t>67,12%</w:t>
            </w:r>
          </w:p>
        </w:tc>
      </w:tr>
      <w:tr>
        <w:trPr>
          <w:trHeight w:val="233" w:hRule="atLeast"/>
        </w:trPr>
        <w:tc>
          <w:tcPr>
            <w:tcW w:w="4425" w:type="dxa"/>
          </w:tcPr>
          <w:p>
            <w:pPr>
              <w:pStyle w:val="TableParagraph"/>
              <w:spacing w:before="4"/>
              <w:ind w:left="50"/>
              <w:rPr>
                <w:sz w:val="20"/>
              </w:rPr>
            </w:pPr>
            <w:r>
              <w:rPr>
                <w:sz w:val="20"/>
              </w:rPr>
              <w:t>% recaudado s/Importe neto Padrón Fiscal</w:t>
            </w:r>
          </w:p>
        </w:tc>
        <w:tc>
          <w:tcPr>
            <w:tcW w:w="1353" w:type="dxa"/>
          </w:tcPr>
          <w:p>
            <w:pPr>
              <w:pStyle w:val="TableParagraph"/>
              <w:spacing w:before="4"/>
              <w:ind w:right="49"/>
              <w:jc w:val="right"/>
              <w:rPr>
                <w:i/>
                <w:sz w:val="20"/>
              </w:rPr>
            </w:pPr>
            <w:r>
              <w:rPr>
                <w:i/>
                <w:sz w:val="20"/>
              </w:rPr>
              <w:t>67,12%</w:t>
            </w:r>
          </w:p>
        </w:tc>
      </w:tr>
    </w:tbl>
    <w:p>
      <w:pPr>
        <w:pStyle w:val="BodyText"/>
        <w:rPr>
          <w:rFonts w:ascii="Arial"/>
          <w:b/>
          <w:sz w:val="22"/>
        </w:rPr>
      </w:pPr>
    </w:p>
    <w:p>
      <w:pPr>
        <w:pStyle w:val="BodyText"/>
        <w:rPr>
          <w:rFonts w:ascii="Arial"/>
          <w:b/>
          <w:sz w:val="22"/>
        </w:rPr>
      </w:pPr>
    </w:p>
    <w:p>
      <w:pPr>
        <w:pStyle w:val="BodyText"/>
        <w:spacing w:before="6"/>
        <w:rPr>
          <w:rFonts w:ascii="Arial"/>
          <w:b/>
          <w:sz w:val="25"/>
        </w:rPr>
      </w:pPr>
    </w:p>
    <w:p>
      <w:pPr>
        <w:spacing w:before="0"/>
        <w:ind w:left="402" w:right="0" w:firstLine="0"/>
        <w:jc w:val="left"/>
        <w:rPr>
          <w:rFonts w:ascii="Arial"/>
          <w:b/>
          <w:sz w:val="20"/>
        </w:rPr>
      </w:pPr>
      <w:r>
        <w:rPr>
          <w:rFonts w:ascii="Arial"/>
          <w:b/>
          <w:sz w:val="20"/>
        </w:rPr>
        <w:t>IBIU - Impuesto Bienes Inmuebles Urbana</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1548"/>
      </w:tblGrid>
      <w:tr>
        <w:trPr>
          <w:trHeight w:val="262" w:hRule="atLeast"/>
        </w:trPr>
        <w:tc>
          <w:tcPr>
            <w:tcW w:w="4229" w:type="dxa"/>
          </w:tcPr>
          <w:p>
            <w:pPr>
              <w:pStyle w:val="TableParagraph"/>
              <w:spacing w:line="223" w:lineRule="exact"/>
              <w:ind w:left="54"/>
              <w:rPr>
                <w:i/>
                <w:sz w:val="20"/>
              </w:rPr>
            </w:pPr>
            <w:r>
              <w:rPr>
                <w:i/>
                <w:sz w:val="20"/>
              </w:rPr>
              <w:t>RB</w:t>
            </w:r>
          </w:p>
        </w:tc>
        <w:tc>
          <w:tcPr>
            <w:tcW w:w="1548" w:type="dxa"/>
          </w:tcPr>
          <w:p>
            <w:pPr>
              <w:pStyle w:val="TableParagraph"/>
              <w:spacing w:line="240" w:lineRule="auto"/>
              <w:rPr>
                <w:rFonts w:ascii="Times New Roman"/>
                <w:sz w:val="18"/>
              </w:rPr>
            </w:pPr>
          </w:p>
        </w:tc>
      </w:tr>
      <w:tr>
        <w:trPr>
          <w:trHeight w:val="273" w:hRule="atLeast"/>
        </w:trPr>
        <w:tc>
          <w:tcPr>
            <w:tcW w:w="4229" w:type="dxa"/>
          </w:tcPr>
          <w:p>
            <w:pPr>
              <w:pStyle w:val="TableParagraph"/>
              <w:spacing w:line="221" w:lineRule="exact" w:before="32"/>
              <w:ind w:left="50"/>
              <w:rPr>
                <w:sz w:val="20"/>
              </w:rPr>
            </w:pPr>
            <w:r>
              <w:rPr>
                <w:sz w:val="20"/>
              </w:rPr>
              <w:t>Importe bruto Padrón Fiscal</w:t>
            </w:r>
          </w:p>
        </w:tc>
        <w:tc>
          <w:tcPr>
            <w:tcW w:w="1548" w:type="dxa"/>
          </w:tcPr>
          <w:p>
            <w:pPr>
              <w:pStyle w:val="TableParagraph"/>
              <w:spacing w:line="221" w:lineRule="exact" w:before="32"/>
              <w:ind w:right="53"/>
              <w:jc w:val="right"/>
              <w:rPr>
                <w:i/>
                <w:sz w:val="20"/>
              </w:rPr>
            </w:pPr>
            <w:r>
              <w:rPr>
                <w:i/>
                <w:sz w:val="20"/>
              </w:rPr>
              <w:t>8.101.502,52</w:t>
            </w:r>
          </w:p>
        </w:tc>
      </w:tr>
      <w:tr>
        <w:trPr>
          <w:trHeight w:val="246" w:hRule="atLeast"/>
        </w:trPr>
        <w:tc>
          <w:tcPr>
            <w:tcW w:w="4229" w:type="dxa"/>
          </w:tcPr>
          <w:p>
            <w:pPr>
              <w:pStyle w:val="TableParagraph"/>
              <w:spacing w:line="222" w:lineRule="exact" w:before="4"/>
              <w:ind w:left="50"/>
              <w:rPr>
                <w:sz w:val="20"/>
              </w:rPr>
            </w:pPr>
            <w:r>
              <w:rPr>
                <w:sz w:val="20"/>
              </w:rPr>
              <w:t>Anulaciones</w:t>
            </w:r>
          </w:p>
        </w:tc>
        <w:tc>
          <w:tcPr>
            <w:tcW w:w="1548" w:type="dxa"/>
          </w:tcPr>
          <w:p>
            <w:pPr>
              <w:pStyle w:val="TableParagraph"/>
              <w:spacing w:line="222" w:lineRule="exact" w:before="4"/>
              <w:ind w:right="48"/>
              <w:jc w:val="right"/>
              <w:rPr>
                <w:i/>
                <w:sz w:val="20"/>
              </w:rPr>
            </w:pPr>
            <w:r>
              <w:rPr>
                <w:i/>
                <w:sz w:val="20"/>
              </w:rPr>
              <w:t>276.734,54</w:t>
            </w:r>
          </w:p>
        </w:tc>
      </w:tr>
      <w:tr>
        <w:trPr>
          <w:trHeight w:val="248" w:hRule="atLeast"/>
        </w:trPr>
        <w:tc>
          <w:tcPr>
            <w:tcW w:w="4229" w:type="dxa"/>
          </w:tcPr>
          <w:p>
            <w:pPr>
              <w:pStyle w:val="TableParagraph"/>
              <w:spacing w:line="223" w:lineRule="exact" w:before="5"/>
              <w:ind w:left="50"/>
              <w:rPr>
                <w:sz w:val="20"/>
              </w:rPr>
            </w:pPr>
            <w:r>
              <w:rPr>
                <w:sz w:val="20"/>
              </w:rPr>
              <w:t>Importe neto Padrón Fiscal</w:t>
            </w:r>
          </w:p>
        </w:tc>
        <w:tc>
          <w:tcPr>
            <w:tcW w:w="1548" w:type="dxa"/>
          </w:tcPr>
          <w:p>
            <w:pPr>
              <w:pStyle w:val="TableParagraph"/>
              <w:spacing w:line="223" w:lineRule="exact" w:before="5"/>
              <w:ind w:right="48"/>
              <w:jc w:val="right"/>
              <w:rPr>
                <w:i/>
                <w:sz w:val="20"/>
              </w:rPr>
            </w:pPr>
            <w:r>
              <w:rPr>
                <w:i/>
                <w:sz w:val="20"/>
              </w:rPr>
              <w:t>7.824.767,98</w:t>
            </w:r>
          </w:p>
        </w:tc>
      </w:tr>
      <w:tr>
        <w:trPr>
          <w:trHeight w:val="249" w:hRule="atLeast"/>
        </w:trPr>
        <w:tc>
          <w:tcPr>
            <w:tcW w:w="4229" w:type="dxa"/>
          </w:tcPr>
          <w:p>
            <w:pPr>
              <w:pStyle w:val="TableParagraph"/>
              <w:spacing w:line="223" w:lineRule="exact" w:before="6"/>
              <w:ind w:left="50"/>
              <w:rPr>
                <w:sz w:val="20"/>
              </w:rPr>
            </w:pPr>
            <w:r>
              <w:rPr>
                <w:sz w:val="20"/>
              </w:rPr>
              <w:t>Importe Recaudado</w:t>
            </w:r>
          </w:p>
        </w:tc>
        <w:tc>
          <w:tcPr>
            <w:tcW w:w="1548" w:type="dxa"/>
          </w:tcPr>
          <w:p>
            <w:pPr>
              <w:pStyle w:val="TableParagraph"/>
              <w:spacing w:line="223" w:lineRule="exact" w:before="6"/>
              <w:ind w:right="48"/>
              <w:jc w:val="right"/>
              <w:rPr>
                <w:i/>
                <w:sz w:val="20"/>
              </w:rPr>
            </w:pPr>
            <w:r>
              <w:rPr>
                <w:i/>
                <w:sz w:val="20"/>
              </w:rPr>
              <w:t>6.873.486,37</w:t>
            </w:r>
          </w:p>
        </w:tc>
      </w:tr>
      <w:tr>
        <w:trPr>
          <w:trHeight w:val="247" w:hRule="atLeast"/>
        </w:trPr>
        <w:tc>
          <w:tcPr>
            <w:tcW w:w="4229" w:type="dxa"/>
          </w:tcPr>
          <w:p>
            <w:pPr>
              <w:pStyle w:val="TableParagraph"/>
              <w:spacing w:line="221" w:lineRule="exact" w:before="6"/>
              <w:ind w:left="50"/>
              <w:rPr>
                <w:sz w:val="20"/>
              </w:rPr>
            </w:pPr>
            <w:r>
              <w:rPr>
                <w:sz w:val="20"/>
              </w:rPr>
              <w:t>% recaudado s/Importe bruto Padrón Fiscal</w:t>
            </w:r>
          </w:p>
        </w:tc>
        <w:tc>
          <w:tcPr>
            <w:tcW w:w="1548" w:type="dxa"/>
          </w:tcPr>
          <w:p>
            <w:pPr>
              <w:pStyle w:val="TableParagraph"/>
              <w:spacing w:line="221" w:lineRule="exact" w:before="6"/>
              <w:ind w:right="48"/>
              <w:jc w:val="right"/>
              <w:rPr>
                <w:i/>
                <w:sz w:val="20"/>
              </w:rPr>
            </w:pPr>
            <w:r>
              <w:rPr>
                <w:i/>
                <w:sz w:val="20"/>
              </w:rPr>
              <w:t>84,84%</w:t>
            </w:r>
          </w:p>
        </w:tc>
      </w:tr>
      <w:tr>
        <w:trPr>
          <w:trHeight w:val="233" w:hRule="atLeast"/>
        </w:trPr>
        <w:tc>
          <w:tcPr>
            <w:tcW w:w="4229" w:type="dxa"/>
          </w:tcPr>
          <w:p>
            <w:pPr>
              <w:pStyle w:val="TableParagraph"/>
              <w:spacing w:before="4"/>
              <w:ind w:left="50"/>
              <w:rPr>
                <w:sz w:val="20"/>
              </w:rPr>
            </w:pPr>
            <w:r>
              <w:rPr>
                <w:sz w:val="20"/>
              </w:rPr>
              <w:t>% recaudado s/Importe neto Padrón Fiscal</w:t>
            </w:r>
          </w:p>
        </w:tc>
        <w:tc>
          <w:tcPr>
            <w:tcW w:w="1548" w:type="dxa"/>
          </w:tcPr>
          <w:p>
            <w:pPr>
              <w:pStyle w:val="TableParagraph"/>
              <w:spacing w:before="4"/>
              <w:ind w:right="48"/>
              <w:jc w:val="right"/>
              <w:rPr>
                <w:i/>
                <w:sz w:val="20"/>
              </w:rPr>
            </w:pPr>
            <w:r>
              <w:rPr>
                <w:i/>
                <w:sz w:val="20"/>
              </w:rPr>
              <w:t>87,84%</w:t>
            </w:r>
          </w:p>
        </w:tc>
      </w:tr>
    </w:tbl>
    <w:p>
      <w:pPr>
        <w:pStyle w:val="BodyText"/>
        <w:rPr>
          <w:rFonts w:ascii="Arial"/>
          <w:b/>
          <w:sz w:val="22"/>
        </w:rPr>
      </w:pPr>
    </w:p>
    <w:p>
      <w:pPr>
        <w:pStyle w:val="BodyText"/>
        <w:rPr>
          <w:rFonts w:ascii="Arial"/>
          <w:b/>
          <w:sz w:val="22"/>
        </w:rPr>
      </w:pPr>
    </w:p>
    <w:p>
      <w:pPr>
        <w:pStyle w:val="BodyText"/>
        <w:spacing w:before="8"/>
        <w:rPr>
          <w:rFonts w:ascii="Arial"/>
          <w:b/>
          <w:sz w:val="25"/>
        </w:rPr>
      </w:pPr>
    </w:p>
    <w:p>
      <w:pPr>
        <w:spacing w:before="0"/>
        <w:ind w:left="402" w:right="0" w:firstLine="0"/>
        <w:jc w:val="left"/>
        <w:rPr>
          <w:rFonts w:ascii="Arial"/>
          <w:b/>
          <w:sz w:val="20"/>
        </w:rPr>
      </w:pPr>
      <w:r>
        <w:rPr>
          <w:rFonts w:ascii="Arial"/>
          <w:b/>
          <w:sz w:val="20"/>
        </w:rPr>
        <w:t>IBIUL-Imp. Bienes Inm. Urbana (Liquidaciones)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62" w:hRule="atLeast"/>
        </w:trPr>
        <w:tc>
          <w:tcPr>
            <w:tcW w:w="4368" w:type="dxa"/>
          </w:tcPr>
          <w:p>
            <w:pPr>
              <w:pStyle w:val="TableParagraph"/>
              <w:spacing w:line="223" w:lineRule="exact"/>
              <w:ind w:left="54"/>
              <w:rPr>
                <w:i/>
                <w:sz w:val="20"/>
              </w:rPr>
            </w:pPr>
            <w:r>
              <w:rPr>
                <w:i/>
                <w:sz w:val="20"/>
              </w:rPr>
              <w:t>ID</w:t>
            </w:r>
          </w:p>
        </w:tc>
        <w:tc>
          <w:tcPr>
            <w:tcW w:w="1408" w:type="dxa"/>
          </w:tcPr>
          <w:p>
            <w:pPr>
              <w:pStyle w:val="TableParagraph"/>
              <w:spacing w:line="240" w:lineRule="auto"/>
              <w:rPr>
                <w:rFonts w:ascii="Times New Roman"/>
                <w:sz w:val="18"/>
              </w:rPr>
            </w:pPr>
          </w:p>
        </w:tc>
      </w:tr>
      <w:tr>
        <w:trPr>
          <w:trHeight w:val="273" w:hRule="atLeast"/>
        </w:trPr>
        <w:tc>
          <w:tcPr>
            <w:tcW w:w="4368" w:type="dxa"/>
          </w:tcPr>
          <w:p>
            <w:pPr>
              <w:pStyle w:val="TableParagraph"/>
              <w:spacing w:line="221" w:lineRule="exact" w:before="32"/>
              <w:ind w:left="50"/>
              <w:rPr>
                <w:sz w:val="20"/>
              </w:rPr>
            </w:pPr>
            <w:r>
              <w:rPr>
                <w:sz w:val="20"/>
              </w:rPr>
              <w:t>Importe bruto Padrón Fiscal</w:t>
            </w:r>
          </w:p>
        </w:tc>
        <w:tc>
          <w:tcPr>
            <w:tcW w:w="1408" w:type="dxa"/>
          </w:tcPr>
          <w:p>
            <w:pPr>
              <w:pStyle w:val="TableParagraph"/>
              <w:spacing w:line="221" w:lineRule="exact" w:before="32"/>
              <w:ind w:right="52"/>
              <w:jc w:val="right"/>
              <w:rPr>
                <w:i/>
                <w:sz w:val="20"/>
              </w:rPr>
            </w:pPr>
            <w:r>
              <w:rPr>
                <w:i/>
                <w:sz w:val="20"/>
              </w:rPr>
              <w:t>51.173,61</w:t>
            </w:r>
          </w:p>
        </w:tc>
      </w:tr>
      <w:tr>
        <w:trPr>
          <w:trHeight w:val="245" w:hRule="atLeast"/>
        </w:trPr>
        <w:tc>
          <w:tcPr>
            <w:tcW w:w="4368" w:type="dxa"/>
          </w:tcPr>
          <w:p>
            <w:pPr>
              <w:pStyle w:val="TableParagraph"/>
              <w:spacing w:line="221" w:lineRule="exact" w:before="4"/>
              <w:ind w:left="50"/>
              <w:rPr>
                <w:sz w:val="20"/>
              </w:rPr>
            </w:pPr>
            <w:r>
              <w:rPr>
                <w:sz w:val="20"/>
              </w:rPr>
              <w:t>Anulaciones</w:t>
            </w:r>
          </w:p>
        </w:tc>
        <w:tc>
          <w:tcPr>
            <w:tcW w:w="1408" w:type="dxa"/>
          </w:tcPr>
          <w:p>
            <w:pPr>
              <w:pStyle w:val="TableParagraph"/>
              <w:spacing w:line="221" w:lineRule="exact" w:before="4"/>
              <w:ind w:right="47"/>
              <w:jc w:val="right"/>
              <w:rPr>
                <w:i/>
                <w:sz w:val="20"/>
              </w:rPr>
            </w:pPr>
            <w:r>
              <w:rPr>
                <w:i/>
                <w:w w:val="95"/>
                <w:sz w:val="20"/>
              </w:rPr>
              <w:t>0,00</w:t>
            </w:r>
          </w:p>
        </w:tc>
      </w:tr>
      <w:tr>
        <w:trPr>
          <w:trHeight w:val="248" w:hRule="atLeast"/>
        </w:trPr>
        <w:tc>
          <w:tcPr>
            <w:tcW w:w="4368" w:type="dxa"/>
          </w:tcPr>
          <w:p>
            <w:pPr>
              <w:pStyle w:val="TableParagraph"/>
              <w:spacing w:line="225" w:lineRule="exact" w:before="4"/>
              <w:ind w:left="50"/>
              <w:rPr>
                <w:sz w:val="20"/>
              </w:rPr>
            </w:pPr>
            <w:r>
              <w:rPr>
                <w:sz w:val="20"/>
              </w:rPr>
              <w:t>Importe neto Padrón Fiscal</w:t>
            </w:r>
          </w:p>
        </w:tc>
        <w:tc>
          <w:tcPr>
            <w:tcW w:w="1408" w:type="dxa"/>
          </w:tcPr>
          <w:p>
            <w:pPr>
              <w:pStyle w:val="TableParagraph"/>
              <w:spacing w:line="225" w:lineRule="exact" w:before="4"/>
              <w:ind w:right="47"/>
              <w:jc w:val="right"/>
              <w:rPr>
                <w:i/>
                <w:sz w:val="20"/>
              </w:rPr>
            </w:pPr>
            <w:r>
              <w:rPr>
                <w:i/>
                <w:sz w:val="20"/>
              </w:rPr>
              <w:t>51.173,61</w:t>
            </w:r>
          </w:p>
        </w:tc>
      </w:tr>
      <w:tr>
        <w:trPr>
          <w:trHeight w:val="250" w:hRule="atLeast"/>
        </w:trPr>
        <w:tc>
          <w:tcPr>
            <w:tcW w:w="4368" w:type="dxa"/>
          </w:tcPr>
          <w:p>
            <w:pPr>
              <w:pStyle w:val="TableParagraph"/>
              <w:spacing w:line="223" w:lineRule="exact" w:before="7"/>
              <w:ind w:left="50"/>
              <w:rPr>
                <w:sz w:val="20"/>
              </w:rPr>
            </w:pPr>
            <w:r>
              <w:rPr>
                <w:sz w:val="20"/>
              </w:rPr>
              <w:t>Importe Recaudado</w:t>
            </w:r>
          </w:p>
        </w:tc>
        <w:tc>
          <w:tcPr>
            <w:tcW w:w="1408" w:type="dxa"/>
          </w:tcPr>
          <w:p>
            <w:pPr>
              <w:pStyle w:val="TableParagraph"/>
              <w:spacing w:line="223" w:lineRule="exact" w:before="7"/>
              <w:ind w:right="47"/>
              <w:jc w:val="right"/>
              <w:rPr>
                <w:i/>
                <w:sz w:val="20"/>
              </w:rPr>
            </w:pPr>
            <w:r>
              <w:rPr>
                <w:i/>
                <w:sz w:val="20"/>
              </w:rPr>
              <w:t>36.045,70</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7"/>
              <w:jc w:val="right"/>
              <w:rPr>
                <w:i/>
                <w:sz w:val="20"/>
              </w:rPr>
            </w:pPr>
            <w:r>
              <w:rPr>
                <w:i/>
                <w:sz w:val="20"/>
              </w:rPr>
              <w:t>70,44%</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7"/>
              <w:jc w:val="right"/>
              <w:rPr>
                <w:i/>
                <w:sz w:val="20"/>
              </w:rPr>
            </w:pPr>
            <w:r>
              <w:rPr>
                <w:i/>
                <w:sz w:val="20"/>
              </w:rPr>
              <w:t>70,44%</w:t>
            </w:r>
          </w:p>
        </w:tc>
      </w:tr>
    </w:tbl>
    <w:p>
      <w:pPr>
        <w:spacing w:after="0"/>
        <w:jc w:val="right"/>
        <w:rPr>
          <w:sz w:val="20"/>
        </w:rPr>
        <w:sectPr>
          <w:pgSz w:w="11910" w:h="16840"/>
          <w:pgMar w:header="1217" w:footer="0" w:top="2740" w:bottom="280" w:left="1300" w:right="1440"/>
        </w:sectPr>
      </w:pPr>
    </w:p>
    <w:p>
      <w:pPr>
        <w:pStyle w:val="BodyText"/>
        <w:rPr>
          <w:rFonts w:ascii="Arial"/>
          <w:b/>
          <w:sz w:val="20"/>
        </w:rPr>
      </w:pPr>
    </w:p>
    <w:p>
      <w:pPr>
        <w:pStyle w:val="BodyText"/>
        <w:rPr>
          <w:rFonts w:ascii="Arial"/>
          <w:b/>
          <w:sz w:val="19"/>
        </w:rPr>
      </w:pPr>
    </w:p>
    <w:p>
      <w:pPr>
        <w:spacing w:before="93"/>
        <w:ind w:left="402" w:right="0" w:firstLine="0"/>
        <w:jc w:val="left"/>
        <w:rPr>
          <w:rFonts w:ascii="Arial"/>
          <w:b/>
          <w:sz w:val="20"/>
        </w:rPr>
      </w:pPr>
      <w:r>
        <w:rPr>
          <w:rFonts w:ascii="Arial"/>
          <w:b/>
          <w:sz w:val="20"/>
        </w:rPr>
        <w:t>IIVT - Impuesto incremento del valor de terrenos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1548"/>
      </w:tblGrid>
      <w:tr>
        <w:trPr>
          <w:trHeight w:val="262" w:hRule="atLeast"/>
        </w:trPr>
        <w:tc>
          <w:tcPr>
            <w:tcW w:w="4229" w:type="dxa"/>
          </w:tcPr>
          <w:p>
            <w:pPr>
              <w:pStyle w:val="TableParagraph"/>
              <w:spacing w:line="223" w:lineRule="exact"/>
              <w:ind w:left="54"/>
              <w:rPr>
                <w:i/>
                <w:sz w:val="20"/>
              </w:rPr>
            </w:pPr>
            <w:r>
              <w:rPr>
                <w:i/>
                <w:sz w:val="20"/>
              </w:rPr>
              <w:t>ID</w:t>
            </w:r>
          </w:p>
        </w:tc>
        <w:tc>
          <w:tcPr>
            <w:tcW w:w="1548" w:type="dxa"/>
          </w:tcPr>
          <w:p>
            <w:pPr>
              <w:pStyle w:val="TableParagraph"/>
              <w:spacing w:line="240" w:lineRule="auto"/>
              <w:rPr>
                <w:rFonts w:ascii="Times New Roman"/>
                <w:sz w:val="18"/>
              </w:rPr>
            </w:pPr>
          </w:p>
        </w:tc>
      </w:tr>
      <w:tr>
        <w:trPr>
          <w:trHeight w:val="273" w:hRule="atLeast"/>
        </w:trPr>
        <w:tc>
          <w:tcPr>
            <w:tcW w:w="4229" w:type="dxa"/>
          </w:tcPr>
          <w:p>
            <w:pPr>
              <w:pStyle w:val="TableParagraph"/>
              <w:spacing w:line="221" w:lineRule="exact" w:before="32"/>
              <w:ind w:left="50"/>
              <w:rPr>
                <w:sz w:val="20"/>
              </w:rPr>
            </w:pPr>
            <w:r>
              <w:rPr>
                <w:sz w:val="20"/>
              </w:rPr>
              <w:t>Importe bruto Padrón Fiscal</w:t>
            </w:r>
          </w:p>
        </w:tc>
        <w:tc>
          <w:tcPr>
            <w:tcW w:w="1548" w:type="dxa"/>
          </w:tcPr>
          <w:p>
            <w:pPr>
              <w:pStyle w:val="TableParagraph"/>
              <w:spacing w:line="221" w:lineRule="exact" w:before="32"/>
              <w:ind w:right="53"/>
              <w:jc w:val="right"/>
              <w:rPr>
                <w:i/>
                <w:sz w:val="20"/>
              </w:rPr>
            </w:pPr>
            <w:r>
              <w:rPr>
                <w:i/>
                <w:sz w:val="20"/>
              </w:rPr>
              <w:t>1.399.422,12</w:t>
            </w:r>
          </w:p>
        </w:tc>
      </w:tr>
      <w:tr>
        <w:trPr>
          <w:trHeight w:val="244" w:hRule="atLeast"/>
        </w:trPr>
        <w:tc>
          <w:tcPr>
            <w:tcW w:w="4229" w:type="dxa"/>
          </w:tcPr>
          <w:p>
            <w:pPr>
              <w:pStyle w:val="TableParagraph"/>
              <w:spacing w:line="221" w:lineRule="exact" w:before="4"/>
              <w:ind w:left="50"/>
              <w:rPr>
                <w:sz w:val="20"/>
              </w:rPr>
            </w:pPr>
            <w:r>
              <w:rPr>
                <w:sz w:val="20"/>
              </w:rPr>
              <w:t>Anulaciones</w:t>
            </w:r>
          </w:p>
        </w:tc>
        <w:tc>
          <w:tcPr>
            <w:tcW w:w="1548" w:type="dxa"/>
          </w:tcPr>
          <w:p>
            <w:pPr>
              <w:pStyle w:val="TableParagraph"/>
              <w:spacing w:line="221" w:lineRule="exact" w:before="4"/>
              <w:ind w:right="48"/>
              <w:jc w:val="right"/>
              <w:rPr>
                <w:i/>
                <w:sz w:val="20"/>
              </w:rPr>
            </w:pPr>
            <w:r>
              <w:rPr>
                <w:i/>
                <w:sz w:val="20"/>
              </w:rPr>
              <w:t>45.683,31</w:t>
            </w:r>
          </w:p>
        </w:tc>
      </w:tr>
      <w:tr>
        <w:trPr>
          <w:trHeight w:val="248" w:hRule="atLeast"/>
        </w:trPr>
        <w:tc>
          <w:tcPr>
            <w:tcW w:w="4229" w:type="dxa"/>
          </w:tcPr>
          <w:p>
            <w:pPr>
              <w:pStyle w:val="TableParagraph"/>
              <w:spacing w:line="225" w:lineRule="exact" w:before="4"/>
              <w:ind w:left="50"/>
              <w:rPr>
                <w:sz w:val="20"/>
              </w:rPr>
            </w:pPr>
            <w:r>
              <w:rPr>
                <w:sz w:val="20"/>
              </w:rPr>
              <w:t>Importe neto Padrón Fiscal</w:t>
            </w:r>
          </w:p>
        </w:tc>
        <w:tc>
          <w:tcPr>
            <w:tcW w:w="1548" w:type="dxa"/>
          </w:tcPr>
          <w:p>
            <w:pPr>
              <w:pStyle w:val="TableParagraph"/>
              <w:spacing w:line="225" w:lineRule="exact" w:before="4"/>
              <w:ind w:right="48"/>
              <w:jc w:val="right"/>
              <w:rPr>
                <w:i/>
                <w:sz w:val="20"/>
              </w:rPr>
            </w:pPr>
            <w:r>
              <w:rPr>
                <w:i/>
                <w:sz w:val="20"/>
              </w:rPr>
              <w:t>1.353.738,81</w:t>
            </w:r>
          </w:p>
        </w:tc>
      </w:tr>
      <w:tr>
        <w:trPr>
          <w:trHeight w:val="250" w:hRule="atLeast"/>
        </w:trPr>
        <w:tc>
          <w:tcPr>
            <w:tcW w:w="4229" w:type="dxa"/>
          </w:tcPr>
          <w:p>
            <w:pPr>
              <w:pStyle w:val="TableParagraph"/>
              <w:spacing w:line="223" w:lineRule="exact" w:before="7"/>
              <w:ind w:left="50"/>
              <w:rPr>
                <w:sz w:val="20"/>
              </w:rPr>
            </w:pPr>
            <w:r>
              <w:rPr>
                <w:sz w:val="20"/>
              </w:rPr>
              <w:t>Importe Recaudado</w:t>
            </w:r>
          </w:p>
        </w:tc>
        <w:tc>
          <w:tcPr>
            <w:tcW w:w="1548" w:type="dxa"/>
          </w:tcPr>
          <w:p>
            <w:pPr>
              <w:pStyle w:val="TableParagraph"/>
              <w:spacing w:line="223" w:lineRule="exact" w:before="7"/>
              <w:ind w:right="48"/>
              <w:jc w:val="right"/>
              <w:rPr>
                <w:i/>
                <w:sz w:val="20"/>
              </w:rPr>
            </w:pPr>
            <w:r>
              <w:rPr>
                <w:i/>
                <w:sz w:val="20"/>
              </w:rPr>
              <w:t>992.916,14</w:t>
            </w:r>
          </w:p>
        </w:tc>
      </w:tr>
      <w:tr>
        <w:trPr>
          <w:trHeight w:val="247" w:hRule="atLeast"/>
        </w:trPr>
        <w:tc>
          <w:tcPr>
            <w:tcW w:w="4229" w:type="dxa"/>
          </w:tcPr>
          <w:p>
            <w:pPr>
              <w:pStyle w:val="TableParagraph"/>
              <w:spacing w:line="221" w:lineRule="exact" w:before="6"/>
              <w:ind w:left="50"/>
              <w:rPr>
                <w:sz w:val="20"/>
              </w:rPr>
            </w:pPr>
            <w:r>
              <w:rPr>
                <w:sz w:val="20"/>
              </w:rPr>
              <w:t>% recaudado s/Importe bruto Padrón Fiscal</w:t>
            </w:r>
          </w:p>
        </w:tc>
        <w:tc>
          <w:tcPr>
            <w:tcW w:w="1548" w:type="dxa"/>
          </w:tcPr>
          <w:p>
            <w:pPr>
              <w:pStyle w:val="TableParagraph"/>
              <w:spacing w:line="221" w:lineRule="exact" w:before="6"/>
              <w:ind w:right="48"/>
              <w:jc w:val="right"/>
              <w:rPr>
                <w:i/>
                <w:sz w:val="20"/>
              </w:rPr>
            </w:pPr>
            <w:r>
              <w:rPr>
                <w:i/>
                <w:sz w:val="20"/>
              </w:rPr>
              <w:t>70,95%</w:t>
            </w:r>
          </w:p>
        </w:tc>
      </w:tr>
      <w:tr>
        <w:trPr>
          <w:trHeight w:val="233" w:hRule="atLeast"/>
        </w:trPr>
        <w:tc>
          <w:tcPr>
            <w:tcW w:w="4229" w:type="dxa"/>
          </w:tcPr>
          <w:p>
            <w:pPr>
              <w:pStyle w:val="TableParagraph"/>
              <w:spacing w:before="4"/>
              <w:ind w:left="50"/>
              <w:rPr>
                <w:sz w:val="20"/>
              </w:rPr>
            </w:pPr>
            <w:r>
              <w:rPr>
                <w:sz w:val="20"/>
              </w:rPr>
              <w:t>% recaudado s/Importe neto Padrón Fiscal</w:t>
            </w:r>
          </w:p>
        </w:tc>
        <w:tc>
          <w:tcPr>
            <w:tcW w:w="1548" w:type="dxa"/>
          </w:tcPr>
          <w:p>
            <w:pPr>
              <w:pStyle w:val="TableParagraph"/>
              <w:spacing w:before="4"/>
              <w:ind w:right="48"/>
              <w:jc w:val="right"/>
              <w:rPr>
                <w:i/>
                <w:sz w:val="20"/>
              </w:rPr>
            </w:pPr>
            <w:r>
              <w:rPr>
                <w:i/>
                <w:sz w:val="20"/>
              </w:rPr>
              <w:t>73,35%</w:t>
            </w:r>
          </w:p>
        </w:tc>
      </w:tr>
    </w:tbl>
    <w:p>
      <w:pPr>
        <w:pStyle w:val="BodyText"/>
        <w:rPr>
          <w:rFonts w:ascii="Arial"/>
          <w:b/>
          <w:sz w:val="22"/>
        </w:rPr>
      </w:pPr>
    </w:p>
    <w:p>
      <w:pPr>
        <w:pStyle w:val="BodyText"/>
        <w:rPr>
          <w:rFonts w:ascii="Arial"/>
          <w:b/>
          <w:sz w:val="22"/>
        </w:rPr>
      </w:pPr>
    </w:p>
    <w:p>
      <w:pPr>
        <w:pStyle w:val="BodyText"/>
        <w:spacing w:before="6"/>
        <w:rPr>
          <w:rFonts w:ascii="Arial"/>
          <w:b/>
          <w:sz w:val="25"/>
        </w:rPr>
      </w:pPr>
    </w:p>
    <w:p>
      <w:pPr>
        <w:spacing w:before="1"/>
        <w:ind w:left="402" w:right="0" w:firstLine="0"/>
        <w:jc w:val="left"/>
        <w:rPr>
          <w:rFonts w:ascii="Arial"/>
          <w:b/>
          <w:sz w:val="20"/>
        </w:rPr>
      </w:pPr>
      <w:r>
        <w:rPr>
          <w:rFonts w:ascii="Arial"/>
          <w:b/>
          <w:sz w:val="20"/>
        </w:rPr>
        <w:t>IMPREVISTOS</w:t>
      </w:r>
    </w:p>
    <w:p>
      <w:pPr>
        <w:pStyle w:val="BodyText"/>
        <w:spacing w:before="7" w:after="1"/>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5"/>
        <w:gridCol w:w="1353"/>
      </w:tblGrid>
      <w:tr>
        <w:trPr>
          <w:trHeight w:val="262" w:hRule="atLeast"/>
        </w:trPr>
        <w:tc>
          <w:tcPr>
            <w:tcW w:w="4425" w:type="dxa"/>
          </w:tcPr>
          <w:p>
            <w:pPr>
              <w:pStyle w:val="TableParagraph"/>
              <w:spacing w:line="223" w:lineRule="exact"/>
              <w:ind w:left="54"/>
              <w:rPr>
                <w:i/>
                <w:sz w:val="20"/>
              </w:rPr>
            </w:pPr>
            <w:r>
              <w:rPr>
                <w:i/>
                <w:sz w:val="20"/>
              </w:rPr>
              <w:t>ID</w:t>
            </w:r>
          </w:p>
        </w:tc>
        <w:tc>
          <w:tcPr>
            <w:tcW w:w="1353" w:type="dxa"/>
          </w:tcPr>
          <w:p>
            <w:pPr>
              <w:pStyle w:val="TableParagraph"/>
              <w:spacing w:line="240" w:lineRule="auto"/>
              <w:rPr>
                <w:rFonts w:ascii="Times New Roman"/>
                <w:sz w:val="18"/>
              </w:rPr>
            </w:pPr>
          </w:p>
        </w:tc>
      </w:tr>
      <w:tr>
        <w:trPr>
          <w:trHeight w:val="273" w:hRule="atLeast"/>
        </w:trPr>
        <w:tc>
          <w:tcPr>
            <w:tcW w:w="4425" w:type="dxa"/>
          </w:tcPr>
          <w:p>
            <w:pPr>
              <w:pStyle w:val="TableParagraph"/>
              <w:spacing w:line="221" w:lineRule="exact" w:before="32"/>
              <w:ind w:left="50"/>
              <w:rPr>
                <w:sz w:val="20"/>
              </w:rPr>
            </w:pPr>
            <w:r>
              <w:rPr>
                <w:sz w:val="20"/>
              </w:rPr>
              <w:t>Importe bruto Padrón Fiscal</w:t>
            </w:r>
          </w:p>
        </w:tc>
        <w:tc>
          <w:tcPr>
            <w:tcW w:w="1353" w:type="dxa"/>
          </w:tcPr>
          <w:p>
            <w:pPr>
              <w:pStyle w:val="TableParagraph"/>
              <w:spacing w:line="221" w:lineRule="exact" w:before="32"/>
              <w:ind w:right="53"/>
              <w:jc w:val="right"/>
              <w:rPr>
                <w:i/>
                <w:sz w:val="20"/>
              </w:rPr>
            </w:pPr>
            <w:r>
              <w:rPr>
                <w:i/>
                <w:w w:val="95"/>
                <w:sz w:val="20"/>
              </w:rPr>
              <w:t>3.185,00</w:t>
            </w:r>
          </w:p>
        </w:tc>
      </w:tr>
      <w:tr>
        <w:trPr>
          <w:trHeight w:val="246" w:hRule="atLeast"/>
        </w:trPr>
        <w:tc>
          <w:tcPr>
            <w:tcW w:w="4425" w:type="dxa"/>
          </w:tcPr>
          <w:p>
            <w:pPr>
              <w:pStyle w:val="TableParagraph"/>
              <w:spacing w:line="222" w:lineRule="exact" w:before="4"/>
              <w:ind w:left="50"/>
              <w:rPr>
                <w:sz w:val="20"/>
              </w:rPr>
            </w:pPr>
            <w:r>
              <w:rPr>
                <w:sz w:val="20"/>
              </w:rPr>
              <w:t>Anulaciones</w:t>
            </w:r>
          </w:p>
        </w:tc>
        <w:tc>
          <w:tcPr>
            <w:tcW w:w="1353" w:type="dxa"/>
          </w:tcPr>
          <w:p>
            <w:pPr>
              <w:pStyle w:val="TableParagraph"/>
              <w:spacing w:line="222" w:lineRule="exact" w:before="4"/>
              <w:ind w:right="49"/>
              <w:jc w:val="right"/>
              <w:rPr>
                <w:i/>
                <w:sz w:val="20"/>
              </w:rPr>
            </w:pPr>
            <w:r>
              <w:rPr>
                <w:i/>
                <w:w w:val="95"/>
                <w:sz w:val="20"/>
              </w:rPr>
              <w:t>0,00</w:t>
            </w:r>
          </w:p>
        </w:tc>
      </w:tr>
      <w:tr>
        <w:trPr>
          <w:trHeight w:val="248" w:hRule="atLeast"/>
        </w:trPr>
        <w:tc>
          <w:tcPr>
            <w:tcW w:w="4425" w:type="dxa"/>
          </w:tcPr>
          <w:p>
            <w:pPr>
              <w:pStyle w:val="TableParagraph"/>
              <w:spacing w:line="223" w:lineRule="exact" w:before="5"/>
              <w:ind w:left="50"/>
              <w:rPr>
                <w:sz w:val="20"/>
              </w:rPr>
            </w:pPr>
            <w:r>
              <w:rPr>
                <w:sz w:val="20"/>
              </w:rPr>
              <w:t>Importe neto Padrón Fiscal</w:t>
            </w:r>
          </w:p>
        </w:tc>
        <w:tc>
          <w:tcPr>
            <w:tcW w:w="1353" w:type="dxa"/>
          </w:tcPr>
          <w:p>
            <w:pPr>
              <w:pStyle w:val="TableParagraph"/>
              <w:spacing w:line="223" w:lineRule="exact" w:before="5"/>
              <w:ind w:right="48"/>
              <w:jc w:val="right"/>
              <w:rPr>
                <w:i/>
                <w:sz w:val="20"/>
              </w:rPr>
            </w:pPr>
            <w:r>
              <w:rPr>
                <w:i/>
                <w:w w:val="95"/>
                <w:sz w:val="20"/>
              </w:rPr>
              <w:t>3.185,00</w:t>
            </w:r>
          </w:p>
        </w:tc>
      </w:tr>
      <w:tr>
        <w:trPr>
          <w:trHeight w:val="249" w:hRule="atLeast"/>
        </w:trPr>
        <w:tc>
          <w:tcPr>
            <w:tcW w:w="4425" w:type="dxa"/>
          </w:tcPr>
          <w:p>
            <w:pPr>
              <w:pStyle w:val="TableParagraph"/>
              <w:spacing w:line="223" w:lineRule="exact" w:before="6"/>
              <w:ind w:left="50"/>
              <w:rPr>
                <w:sz w:val="20"/>
              </w:rPr>
            </w:pPr>
            <w:r>
              <w:rPr>
                <w:sz w:val="20"/>
              </w:rPr>
              <w:t>Importe Recaudado</w:t>
            </w:r>
          </w:p>
        </w:tc>
        <w:tc>
          <w:tcPr>
            <w:tcW w:w="1353" w:type="dxa"/>
          </w:tcPr>
          <w:p>
            <w:pPr>
              <w:pStyle w:val="TableParagraph"/>
              <w:spacing w:line="223" w:lineRule="exact" w:before="6"/>
              <w:ind w:right="48"/>
              <w:jc w:val="right"/>
              <w:rPr>
                <w:i/>
                <w:sz w:val="20"/>
              </w:rPr>
            </w:pPr>
            <w:r>
              <w:rPr>
                <w:i/>
                <w:w w:val="95"/>
                <w:sz w:val="20"/>
              </w:rPr>
              <w:t>2.130,41</w:t>
            </w:r>
          </w:p>
        </w:tc>
      </w:tr>
      <w:tr>
        <w:trPr>
          <w:trHeight w:val="248" w:hRule="atLeast"/>
        </w:trPr>
        <w:tc>
          <w:tcPr>
            <w:tcW w:w="4425" w:type="dxa"/>
          </w:tcPr>
          <w:p>
            <w:pPr>
              <w:pStyle w:val="TableParagraph"/>
              <w:spacing w:line="222" w:lineRule="exact" w:before="6"/>
              <w:ind w:left="50"/>
              <w:rPr>
                <w:sz w:val="20"/>
              </w:rPr>
            </w:pPr>
            <w:r>
              <w:rPr>
                <w:sz w:val="20"/>
              </w:rPr>
              <w:t>% recaudado s/Importe bruto Padrón Fiscal</w:t>
            </w:r>
          </w:p>
        </w:tc>
        <w:tc>
          <w:tcPr>
            <w:tcW w:w="1353" w:type="dxa"/>
          </w:tcPr>
          <w:p>
            <w:pPr>
              <w:pStyle w:val="TableParagraph"/>
              <w:spacing w:line="222" w:lineRule="exact" w:before="6"/>
              <w:ind w:right="49"/>
              <w:jc w:val="right"/>
              <w:rPr>
                <w:i/>
                <w:sz w:val="20"/>
              </w:rPr>
            </w:pPr>
            <w:r>
              <w:rPr>
                <w:i/>
                <w:sz w:val="20"/>
              </w:rPr>
              <w:t>66,89%</w:t>
            </w:r>
          </w:p>
        </w:tc>
      </w:tr>
      <w:tr>
        <w:trPr>
          <w:trHeight w:val="234" w:hRule="atLeast"/>
        </w:trPr>
        <w:tc>
          <w:tcPr>
            <w:tcW w:w="4425" w:type="dxa"/>
          </w:tcPr>
          <w:p>
            <w:pPr>
              <w:pStyle w:val="TableParagraph"/>
              <w:spacing w:before="5"/>
              <w:ind w:left="50"/>
              <w:rPr>
                <w:sz w:val="20"/>
              </w:rPr>
            </w:pPr>
            <w:r>
              <w:rPr>
                <w:sz w:val="20"/>
              </w:rPr>
              <w:t>% recaudado s/Importe neto Padrón Fiscal</w:t>
            </w:r>
          </w:p>
        </w:tc>
        <w:tc>
          <w:tcPr>
            <w:tcW w:w="1353" w:type="dxa"/>
          </w:tcPr>
          <w:p>
            <w:pPr>
              <w:pStyle w:val="TableParagraph"/>
              <w:spacing w:before="5"/>
              <w:ind w:right="49"/>
              <w:jc w:val="right"/>
              <w:rPr>
                <w:i/>
                <w:sz w:val="20"/>
              </w:rPr>
            </w:pPr>
            <w:r>
              <w:rPr>
                <w:i/>
                <w:sz w:val="20"/>
              </w:rPr>
              <w:t>66,89%</w:t>
            </w:r>
          </w:p>
        </w:tc>
      </w:tr>
    </w:tbl>
    <w:p>
      <w:pPr>
        <w:pStyle w:val="BodyText"/>
        <w:rPr>
          <w:rFonts w:ascii="Arial"/>
          <w:b/>
          <w:sz w:val="22"/>
        </w:rPr>
      </w:pPr>
    </w:p>
    <w:p>
      <w:pPr>
        <w:pStyle w:val="BodyText"/>
        <w:rPr>
          <w:rFonts w:ascii="Arial"/>
          <w:b/>
          <w:sz w:val="22"/>
        </w:rPr>
      </w:pPr>
    </w:p>
    <w:p>
      <w:pPr>
        <w:pStyle w:val="BodyText"/>
        <w:spacing w:before="5"/>
        <w:rPr>
          <w:rFonts w:ascii="Arial"/>
          <w:b/>
          <w:sz w:val="19"/>
        </w:rPr>
      </w:pPr>
    </w:p>
    <w:p>
      <w:pPr>
        <w:spacing w:before="0"/>
        <w:ind w:left="402" w:right="0" w:firstLine="0"/>
        <w:jc w:val="left"/>
        <w:rPr>
          <w:rFonts w:ascii="Arial"/>
          <w:b/>
          <w:sz w:val="20"/>
        </w:rPr>
      </w:pPr>
      <w:r>
        <w:rPr>
          <w:rFonts w:ascii="Arial"/>
          <w:b/>
          <w:sz w:val="20"/>
        </w:rPr>
        <w:t>Impuesto Construcciones, Instalaciones y Obras</w:t>
      </w:r>
    </w:p>
    <w:p>
      <w:pPr>
        <w:spacing w:before="116"/>
        <w:ind w:left="572" w:right="0" w:firstLine="0"/>
        <w:jc w:val="left"/>
        <w:rPr>
          <w:rFonts w:ascii="Arial"/>
          <w:i/>
          <w:sz w:val="20"/>
        </w:rPr>
      </w:pPr>
      <w:r>
        <w:rPr>
          <w:rFonts w:ascii="Arial"/>
          <w:i/>
          <w:sz w:val="20"/>
        </w:rPr>
        <w:t>AU</w:t>
      </w:r>
    </w:p>
    <w:p>
      <w:pPr>
        <w:pStyle w:val="BodyText"/>
        <w:spacing w:before="11"/>
        <w:rPr>
          <w:rFonts w:ascii="Arial"/>
          <w:i/>
          <w:sz w:val="6"/>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1464"/>
      </w:tblGrid>
      <w:tr>
        <w:trPr>
          <w:trHeight w:val="233" w:hRule="atLeast"/>
        </w:trPr>
        <w:tc>
          <w:tcPr>
            <w:tcW w:w="4313" w:type="dxa"/>
          </w:tcPr>
          <w:p>
            <w:pPr>
              <w:pStyle w:val="TableParagraph"/>
              <w:spacing w:line="214" w:lineRule="exact"/>
              <w:ind w:left="50"/>
              <w:rPr>
                <w:sz w:val="20"/>
              </w:rPr>
            </w:pPr>
            <w:r>
              <w:rPr>
                <w:sz w:val="20"/>
              </w:rPr>
              <w:t>Importe bruto Padrón Fiscal</w:t>
            </w:r>
          </w:p>
        </w:tc>
        <w:tc>
          <w:tcPr>
            <w:tcW w:w="1464" w:type="dxa"/>
          </w:tcPr>
          <w:p>
            <w:pPr>
              <w:pStyle w:val="TableParagraph"/>
              <w:spacing w:line="214" w:lineRule="exact"/>
              <w:ind w:right="53"/>
              <w:jc w:val="right"/>
              <w:rPr>
                <w:i/>
                <w:sz w:val="20"/>
              </w:rPr>
            </w:pPr>
            <w:r>
              <w:rPr>
                <w:i/>
                <w:sz w:val="20"/>
              </w:rPr>
              <w:t>521.336,23</w:t>
            </w:r>
          </w:p>
        </w:tc>
      </w:tr>
      <w:tr>
        <w:trPr>
          <w:trHeight w:val="246" w:hRule="atLeast"/>
        </w:trPr>
        <w:tc>
          <w:tcPr>
            <w:tcW w:w="4313" w:type="dxa"/>
          </w:tcPr>
          <w:p>
            <w:pPr>
              <w:pStyle w:val="TableParagraph"/>
              <w:spacing w:line="222" w:lineRule="exact" w:before="4"/>
              <w:ind w:left="50"/>
              <w:rPr>
                <w:sz w:val="20"/>
              </w:rPr>
            </w:pPr>
            <w:r>
              <w:rPr>
                <w:sz w:val="20"/>
              </w:rPr>
              <w:t>Anulaciones</w:t>
            </w:r>
          </w:p>
        </w:tc>
        <w:tc>
          <w:tcPr>
            <w:tcW w:w="1464" w:type="dxa"/>
          </w:tcPr>
          <w:p>
            <w:pPr>
              <w:pStyle w:val="TableParagraph"/>
              <w:spacing w:line="222" w:lineRule="exact" w:before="4"/>
              <w:ind w:right="48"/>
              <w:jc w:val="right"/>
              <w:rPr>
                <w:i/>
                <w:sz w:val="20"/>
              </w:rPr>
            </w:pPr>
            <w:r>
              <w:rPr>
                <w:i/>
                <w:w w:val="95"/>
                <w:sz w:val="20"/>
              </w:rPr>
              <w:t>0,00</w:t>
            </w:r>
          </w:p>
        </w:tc>
      </w:tr>
      <w:tr>
        <w:trPr>
          <w:trHeight w:val="248" w:hRule="atLeast"/>
        </w:trPr>
        <w:tc>
          <w:tcPr>
            <w:tcW w:w="4313" w:type="dxa"/>
          </w:tcPr>
          <w:p>
            <w:pPr>
              <w:pStyle w:val="TableParagraph"/>
              <w:spacing w:line="223" w:lineRule="exact" w:before="5"/>
              <w:ind w:left="50"/>
              <w:rPr>
                <w:sz w:val="20"/>
              </w:rPr>
            </w:pPr>
            <w:r>
              <w:rPr>
                <w:sz w:val="20"/>
              </w:rPr>
              <w:t>Importe neto Padrón Fiscal</w:t>
            </w:r>
          </w:p>
        </w:tc>
        <w:tc>
          <w:tcPr>
            <w:tcW w:w="1464" w:type="dxa"/>
          </w:tcPr>
          <w:p>
            <w:pPr>
              <w:pStyle w:val="TableParagraph"/>
              <w:spacing w:line="223" w:lineRule="exact" w:before="5"/>
              <w:ind w:right="48"/>
              <w:jc w:val="right"/>
              <w:rPr>
                <w:i/>
                <w:sz w:val="20"/>
              </w:rPr>
            </w:pPr>
            <w:r>
              <w:rPr>
                <w:i/>
                <w:sz w:val="20"/>
              </w:rPr>
              <w:t>521.336,23</w:t>
            </w:r>
          </w:p>
        </w:tc>
      </w:tr>
      <w:tr>
        <w:trPr>
          <w:trHeight w:val="249" w:hRule="atLeast"/>
        </w:trPr>
        <w:tc>
          <w:tcPr>
            <w:tcW w:w="4313" w:type="dxa"/>
          </w:tcPr>
          <w:p>
            <w:pPr>
              <w:pStyle w:val="TableParagraph"/>
              <w:spacing w:line="223" w:lineRule="exact" w:before="6"/>
              <w:ind w:left="50"/>
              <w:rPr>
                <w:sz w:val="20"/>
              </w:rPr>
            </w:pPr>
            <w:r>
              <w:rPr>
                <w:sz w:val="20"/>
              </w:rPr>
              <w:t>Importe Recaudado</w:t>
            </w:r>
          </w:p>
        </w:tc>
        <w:tc>
          <w:tcPr>
            <w:tcW w:w="1464" w:type="dxa"/>
          </w:tcPr>
          <w:p>
            <w:pPr>
              <w:pStyle w:val="TableParagraph"/>
              <w:spacing w:line="223" w:lineRule="exact" w:before="6"/>
              <w:ind w:right="48"/>
              <w:jc w:val="right"/>
              <w:rPr>
                <w:i/>
                <w:sz w:val="20"/>
              </w:rPr>
            </w:pPr>
            <w:r>
              <w:rPr>
                <w:i/>
                <w:sz w:val="20"/>
              </w:rPr>
              <w:t>521.336,23</w:t>
            </w:r>
          </w:p>
        </w:tc>
      </w:tr>
      <w:tr>
        <w:trPr>
          <w:trHeight w:val="247" w:hRule="atLeast"/>
        </w:trPr>
        <w:tc>
          <w:tcPr>
            <w:tcW w:w="4313" w:type="dxa"/>
          </w:tcPr>
          <w:p>
            <w:pPr>
              <w:pStyle w:val="TableParagraph"/>
              <w:spacing w:line="221" w:lineRule="exact" w:before="6"/>
              <w:ind w:left="50"/>
              <w:rPr>
                <w:sz w:val="20"/>
              </w:rPr>
            </w:pPr>
            <w:r>
              <w:rPr>
                <w:sz w:val="20"/>
              </w:rPr>
              <w:t>% recaudado s/Importe bruto Padrón Fiscal</w:t>
            </w:r>
          </w:p>
        </w:tc>
        <w:tc>
          <w:tcPr>
            <w:tcW w:w="1464" w:type="dxa"/>
          </w:tcPr>
          <w:p>
            <w:pPr>
              <w:pStyle w:val="TableParagraph"/>
              <w:spacing w:line="221" w:lineRule="exact" w:before="6"/>
              <w:ind w:right="49"/>
              <w:jc w:val="right"/>
              <w:rPr>
                <w:i/>
                <w:sz w:val="20"/>
              </w:rPr>
            </w:pPr>
            <w:r>
              <w:rPr>
                <w:i/>
                <w:w w:val="95"/>
                <w:sz w:val="20"/>
              </w:rPr>
              <w:t>100,00%</w:t>
            </w:r>
          </w:p>
        </w:tc>
      </w:tr>
      <w:tr>
        <w:trPr>
          <w:trHeight w:val="233" w:hRule="atLeast"/>
        </w:trPr>
        <w:tc>
          <w:tcPr>
            <w:tcW w:w="4313" w:type="dxa"/>
          </w:tcPr>
          <w:p>
            <w:pPr>
              <w:pStyle w:val="TableParagraph"/>
              <w:spacing w:before="4"/>
              <w:ind w:left="50"/>
              <w:rPr>
                <w:sz w:val="20"/>
              </w:rPr>
            </w:pPr>
            <w:r>
              <w:rPr>
                <w:sz w:val="20"/>
              </w:rPr>
              <w:t>% recaudado s/Importe neto Padrón Fiscal</w:t>
            </w:r>
          </w:p>
        </w:tc>
        <w:tc>
          <w:tcPr>
            <w:tcW w:w="1464" w:type="dxa"/>
          </w:tcPr>
          <w:p>
            <w:pPr>
              <w:pStyle w:val="TableParagraph"/>
              <w:spacing w:before="4"/>
              <w:ind w:right="49"/>
              <w:jc w:val="right"/>
              <w:rPr>
                <w:i/>
                <w:sz w:val="20"/>
              </w:rPr>
            </w:pPr>
            <w:r>
              <w:rPr>
                <w:i/>
                <w:w w:val="95"/>
                <w:sz w:val="20"/>
              </w:rPr>
              <w:t>100,00%</w:t>
            </w:r>
          </w:p>
        </w:tc>
      </w:tr>
    </w:tbl>
    <w:p>
      <w:pPr>
        <w:pStyle w:val="BodyText"/>
        <w:rPr>
          <w:rFonts w:ascii="Arial"/>
          <w:i/>
          <w:sz w:val="22"/>
        </w:rPr>
      </w:pPr>
    </w:p>
    <w:p>
      <w:pPr>
        <w:pStyle w:val="BodyText"/>
        <w:rPr>
          <w:rFonts w:ascii="Arial"/>
          <w:i/>
          <w:sz w:val="22"/>
        </w:rPr>
      </w:pPr>
    </w:p>
    <w:p>
      <w:pPr>
        <w:pStyle w:val="BodyText"/>
        <w:spacing w:before="9"/>
        <w:rPr>
          <w:rFonts w:ascii="Arial"/>
          <w:i/>
          <w:sz w:val="25"/>
        </w:rPr>
      </w:pPr>
    </w:p>
    <w:p>
      <w:pPr>
        <w:spacing w:before="0"/>
        <w:ind w:left="402" w:right="0" w:firstLine="0"/>
        <w:jc w:val="left"/>
        <w:rPr>
          <w:rFonts w:ascii="Arial" w:hAnsi="Arial"/>
          <w:b/>
          <w:sz w:val="20"/>
        </w:rPr>
      </w:pPr>
      <w:r>
        <w:rPr>
          <w:rFonts w:ascii="Arial" w:hAnsi="Arial"/>
          <w:b/>
          <w:sz w:val="20"/>
        </w:rPr>
        <w:t>IVTM - Impuesto Vehículos Tracción Mecánica</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1464"/>
      </w:tblGrid>
      <w:tr>
        <w:trPr>
          <w:trHeight w:val="262" w:hRule="atLeast"/>
        </w:trPr>
        <w:tc>
          <w:tcPr>
            <w:tcW w:w="4313" w:type="dxa"/>
          </w:tcPr>
          <w:p>
            <w:pPr>
              <w:pStyle w:val="TableParagraph"/>
              <w:spacing w:line="223" w:lineRule="exact"/>
              <w:ind w:left="54"/>
              <w:rPr>
                <w:i/>
                <w:sz w:val="20"/>
              </w:rPr>
            </w:pPr>
            <w:r>
              <w:rPr>
                <w:i/>
                <w:sz w:val="20"/>
              </w:rPr>
              <w:t>RB</w:t>
            </w:r>
          </w:p>
        </w:tc>
        <w:tc>
          <w:tcPr>
            <w:tcW w:w="1464" w:type="dxa"/>
          </w:tcPr>
          <w:p>
            <w:pPr>
              <w:pStyle w:val="TableParagraph"/>
              <w:spacing w:line="240" w:lineRule="auto"/>
              <w:rPr>
                <w:rFonts w:ascii="Times New Roman"/>
                <w:sz w:val="18"/>
              </w:rPr>
            </w:pPr>
          </w:p>
        </w:tc>
      </w:tr>
      <w:tr>
        <w:trPr>
          <w:trHeight w:val="273" w:hRule="atLeast"/>
        </w:trPr>
        <w:tc>
          <w:tcPr>
            <w:tcW w:w="4313" w:type="dxa"/>
          </w:tcPr>
          <w:p>
            <w:pPr>
              <w:pStyle w:val="TableParagraph"/>
              <w:spacing w:line="221" w:lineRule="exact" w:before="32"/>
              <w:ind w:left="50"/>
              <w:rPr>
                <w:sz w:val="20"/>
              </w:rPr>
            </w:pPr>
            <w:r>
              <w:rPr>
                <w:sz w:val="20"/>
              </w:rPr>
              <w:t>Importe bruto Padrón Fiscal</w:t>
            </w:r>
          </w:p>
        </w:tc>
        <w:tc>
          <w:tcPr>
            <w:tcW w:w="1464" w:type="dxa"/>
          </w:tcPr>
          <w:p>
            <w:pPr>
              <w:pStyle w:val="TableParagraph"/>
              <w:spacing w:line="221" w:lineRule="exact" w:before="32"/>
              <w:ind w:right="53"/>
              <w:jc w:val="right"/>
              <w:rPr>
                <w:i/>
                <w:sz w:val="20"/>
              </w:rPr>
            </w:pPr>
            <w:r>
              <w:rPr>
                <w:i/>
                <w:sz w:val="20"/>
              </w:rPr>
              <w:t>830.914,46</w:t>
            </w:r>
          </w:p>
        </w:tc>
      </w:tr>
      <w:tr>
        <w:trPr>
          <w:trHeight w:val="245" w:hRule="atLeast"/>
        </w:trPr>
        <w:tc>
          <w:tcPr>
            <w:tcW w:w="4313" w:type="dxa"/>
          </w:tcPr>
          <w:p>
            <w:pPr>
              <w:pStyle w:val="TableParagraph"/>
              <w:spacing w:line="221" w:lineRule="exact" w:before="4"/>
              <w:ind w:left="50"/>
              <w:rPr>
                <w:sz w:val="20"/>
              </w:rPr>
            </w:pPr>
            <w:r>
              <w:rPr>
                <w:sz w:val="20"/>
              </w:rPr>
              <w:t>Anulaciones</w:t>
            </w:r>
          </w:p>
        </w:tc>
        <w:tc>
          <w:tcPr>
            <w:tcW w:w="1464" w:type="dxa"/>
          </w:tcPr>
          <w:p>
            <w:pPr>
              <w:pStyle w:val="TableParagraph"/>
              <w:spacing w:line="221" w:lineRule="exact" w:before="4"/>
              <w:ind w:right="47"/>
              <w:jc w:val="right"/>
              <w:rPr>
                <w:i/>
                <w:sz w:val="20"/>
              </w:rPr>
            </w:pPr>
            <w:r>
              <w:rPr>
                <w:i/>
                <w:w w:val="95"/>
                <w:sz w:val="20"/>
              </w:rPr>
              <w:t>4.537,73</w:t>
            </w:r>
          </w:p>
        </w:tc>
      </w:tr>
      <w:tr>
        <w:trPr>
          <w:trHeight w:val="248" w:hRule="atLeast"/>
        </w:trPr>
        <w:tc>
          <w:tcPr>
            <w:tcW w:w="4313" w:type="dxa"/>
          </w:tcPr>
          <w:p>
            <w:pPr>
              <w:pStyle w:val="TableParagraph"/>
              <w:spacing w:line="225" w:lineRule="exact" w:before="4"/>
              <w:ind w:left="50"/>
              <w:rPr>
                <w:sz w:val="20"/>
              </w:rPr>
            </w:pPr>
            <w:r>
              <w:rPr>
                <w:sz w:val="20"/>
              </w:rPr>
              <w:t>Importe neto Padrón Fiscal</w:t>
            </w:r>
          </w:p>
        </w:tc>
        <w:tc>
          <w:tcPr>
            <w:tcW w:w="1464" w:type="dxa"/>
          </w:tcPr>
          <w:p>
            <w:pPr>
              <w:pStyle w:val="TableParagraph"/>
              <w:spacing w:line="225" w:lineRule="exact" w:before="4"/>
              <w:ind w:right="48"/>
              <w:jc w:val="right"/>
              <w:rPr>
                <w:i/>
                <w:sz w:val="20"/>
              </w:rPr>
            </w:pPr>
            <w:r>
              <w:rPr>
                <w:i/>
                <w:sz w:val="20"/>
              </w:rPr>
              <w:t>826.376,73</w:t>
            </w:r>
          </w:p>
        </w:tc>
      </w:tr>
      <w:tr>
        <w:trPr>
          <w:trHeight w:val="250" w:hRule="atLeast"/>
        </w:trPr>
        <w:tc>
          <w:tcPr>
            <w:tcW w:w="4313" w:type="dxa"/>
          </w:tcPr>
          <w:p>
            <w:pPr>
              <w:pStyle w:val="TableParagraph"/>
              <w:spacing w:line="223" w:lineRule="exact" w:before="7"/>
              <w:ind w:left="50"/>
              <w:rPr>
                <w:sz w:val="20"/>
              </w:rPr>
            </w:pPr>
            <w:r>
              <w:rPr>
                <w:sz w:val="20"/>
              </w:rPr>
              <w:t>Importe Recaudado</w:t>
            </w:r>
          </w:p>
        </w:tc>
        <w:tc>
          <w:tcPr>
            <w:tcW w:w="1464" w:type="dxa"/>
          </w:tcPr>
          <w:p>
            <w:pPr>
              <w:pStyle w:val="TableParagraph"/>
              <w:spacing w:line="223" w:lineRule="exact" w:before="7"/>
              <w:ind w:right="48"/>
              <w:jc w:val="right"/>
              <w:rPr>
                <w:i/>
                <w:sz w:val="20"/>
              </w:rPr>
            </w:pPr>
            <w:r>
              <w:rPr>
                <w:i/>
                <w:sz w:val="20"/>
              </w:rPr>
              <w:t>525.489,80</w:t>
            </w:r>
          </w:p>
        </w:tc>
      </w:tr>
      <w:tr>
        <w:trPr>
          <w:trHeight w:val="247" w:hRule="atLeast"/>
        </w:trPr>
        <w:tc>
          <w:tcPr>
            <w:tcW w:w="4313" w:type="dxa"/>
          </w:tcPr>
          <w:p>
            <w:pPr>
              <w:pStyle w:val="TableParagraph"/>
              <w:spacing w:line="221" w:lineRule="exact" w:before="6"/>
              <w:ind w:left="50"/>
              <w:rPr>
                <w:sz w:val="20"/>
              </w:rPr>
            </w:pPr>
            <w:r>
              <w:rPr>
                <w:sz w:val="20"/>
              </w:rPr>
              <w:t>% recaudado s/Importe bruto Padrón Fiscal</w:t>
            </w:r>
          </w:p>
        </w:tc>
        <w:tc>
          <w:tcPr>
            <w:tcW w:w="1464" w:type="dxa"/>
          </w:tcPr>
          <w:p>
            <w:pPr>
              <w:pStyle w:val="TableParagraph"/>
              <w:spacing w:line="221" w:lineRule="exact" w:before="6"/>
              <w:ind w:right="48"/>
              <w:jc w:val="right"/>
              <w:rPr>
                <w:i/>
                <w:sz w:val="20"/>
              </w:rPr>
            </w:pPr>
            <w:r>
              <w:rPr>
                <w:i/>
                <w:sz w:val="20"/>
              </w:rPr>
              <w:t>63,24%</w:t>
            </w:r>
          </w:p>
        </w:tc>
      </w:tr>
      <w:tr>
        <w:trPr>
          <w:trHeight w:val="307" w:hRule="atLeast"/>
        </w:trPr>
        <w:tc>
          <w:tcPr>
            <w:tcW w:w="4313" w:type="dxa"/>
          </w:tcPr>
          <w:p>
            <w:pPr>
              <w:pStyle w:val="TableParagraph"/>
              <w:spacing w:line="240" w:lineRule="auto" w:before="4"/>
              <w:ind w:left="50"/>
              <w:rPr>
                <w:sz w:val="20"/>
              </w:rPr>
            </w:pPr>
            <w:r>
              <w:rPr>
                <w:sz w:val="20"/>
              </w:rPr>
              <w:t>% recaudado s/Importe neto Padrón Fiscal</w:t>
            </w:r>
          </w:p>
        </w:tc>
        <w:tc>
          <w:tcPr>
            <w:tcW w:w="1464" w:type="dxa"/>
          </w:tcPr>
          <w:p>
            <w:pPr>
              <w:pStyle w:val="TableParagraph"/>
              <w:spacing w:line="240" w:lineRule="auto" w:before="4"/>
              <w:ind w:right="48"/>
              <w:jc w:val="right"/>
              <w:rPr>
                <w:i/>
                <w:sz w:val="20"/>
              </w:rPr>
            </w:pPr>
            <w:r>
              <w:rPr>
                <w:i/>
                <w:sz w:val="20"/>
              </w:rPr>
              <w:t>63,59%</w:t>
            </w:r>
          </w:p>
        </w:tc>
      </w:tr>
      <w:tr>
        <w:trPr>
          <w:trHeight w:val="334" w:hRule="atLeast"/>
        </w:trPr>
        <w:tc>
          <w:tcPr>
            <w:tcW w:w="4313" w:type="dxa"/>
          </w:tcPr>
          <w:p>
            <w:pPr>
              <w:pStyle w:val="TableParagraph"/>
              <w:spacing w:line="240" w:lineRule="auto" w:before="66"/>
              <w:ind w:left="54"/>
              <w:rPr>
                <w:i/>
                <w:sz w:val="20"/>
              </w:rPr>
            </w:pPr>
            <w:r>
              <w:rPr>
                <w:i/>
                <w:sz w:val="20"/>
              </w:rPr>
              <w:t>ID</w:t>
            </w:r>
          </w:p>
        </w:tc>
        <w:tc>
          <w:tcPr>
            <w:tcW w:w="1464" w:type="dxa"/>
          </w:tcPr>
          <w:p>
            <w:pPr>
              <w:pStyle w:val="TableParagraph"/>
              <w:spacing w:line="240" w:lineRule="auto"/>
              <w:rPr>
                <w:rFonts w:ascii="Times New Roman"/>
                <w:sz w:val="18"/>
              </w:rPr>
            </w:pPr>
          </w:p>
        </w:tc>
      </w:tr>
      <w:tr>
        <w:trPr>
          <w:trHeight w:val="272" w:hRule="atLeast"/>
        </w:trPr>
        <w:tc>
          <w:tcPr>
            <w:tcW w:w="4313" w:type="dxa"/>
          </w:tcPr>
          <w:p>
            <w:pPr>
              <w:pStyle w:val="TableParagraph"/>
              <w:spacing w:line="221" w:lineRule="exact" w:before="31"/>
              <w:ind w:left="50"/>
              <w:rPr>
                <w:sz w:val="20"/>
              </w:rPr>
            </w:pPr>
            <w:r>
              <w:rPr>
                <w:sz w:val="20"/>
              </w:rPr>
              <w:t>Importe bruto Padrón Fiscal</w:t>
            </w:r>
          </w:p>
        </w:tc>
        <w:tc>
          <w:tcPr>
            <w:tcW w:w="1464" w:type="dxa"/>
          </w:tcPr>
          <w:p>
            <w:pPr>
              <w:pStyle w:val="TableParagraph"/>
              <w:spacing w:line="221" w:lineRule="exact" w:before="31"/>
              <w:ind w:right="52"/>
              <w:jc w:val="right"/>
              <w:rPr>
                <w:i/>
                <w:sz w:val="20"/>
              </w:rPr>
            </w:pPr>
            <w:r>
              <w:rPr>
                <w:i/>
                <w:w w:val="95"/>
                <w:sz w:val="20"/>
              </w:rPr>
              <w:t>2.778,13</w:t>
            </w:r>
          </w:p>
        </w:tc>
      </w:tr>
      <w:tr>
        <w:trPr>
          <w:trHeight w:val="245" w:hRule="atLeast"/>
        </w:trPr>
        <w:tc>
          <w:tcPr>
            <w:tcW w:w="4313" w:type="dxa"/>
          </w:tcPr>
          <w:p>
            <w:pPr>
              <w:pStyle w:val="TableParagraph"/>
              <w:spacing w:line="222" w:lineRule="exact" w:before="4"/>
              <w:ind w:left="50"/>
              <w:rPr>
                <w:sz w:val="20"/>
              </w:rPr>
            </w:pPr>
            <w:r>
              <w:rPr>
                <w:sz w:val="20"/>
              </w:rPr>
              <w:t>Anulaciones</w:t>
            </w:r>
          </w:p>
        </w:tc>
        <w:tc>
          <w:tcPr>
            <w:tcW w:w="1464" w:type="dxa"/>
          </w:tcPr>
          <w:p>
            <w:pPr>
              <w:pStyle w:val="TableParagraph"/>
              <w:spacing w:line="222" w:lineRule="exact" w:before="4"/>
              <w:ind w:right="49"/>
              <w:jc w:val="right"/>
              <w:rPr>
                <w:i/>
                <w:sz w:val="20"/>
              </w:rPr>
            </w:pPr>
            <w:r>
              <w:rPr>
                <w:i/>
                <w:sz w:val="20"/>
              </w:rPr>
              <w:t>34,08</w:t>
            </w:r>
          </w:p>
        </w:tc>
      </w:tr>
      <w:tr>
        <w:trPr>
          <w:trHeight w:val="234" w:hRule="atLeast"/>
        </w:trPr>
        <w:tc>
          <w:tcPr>
            <w:tcW w:w="4313" w:type="dxa"/>
          </w:tcPr>
          <w:p>
            <w:pPr>
              <w:pStyle w:val="TableParagraph"/>
              <w:spacing w:before="5"/>
              <w:ind w:left="50"/>
              <w:rPr>
                <w:sz w:val="20"/>
              </w:rPr>
            </w:pPr>
            <w:r>
              <w:rPr>
                <w:sz w:val="20"/>
              </w:rPr>
              <w:t>Importe neto Padrón Fiscal</w:t>
            </w:r>
          </w:p>
        </w:tc>
        <w:tc>
          <w:tcPr>
            <w:tcW w:w="1464" w:type="dxa"/>
          </w:tcPr>
          <w:p>
            <w:pPr>
              <w:pStyle w:val="TableParagraph"/>
              <w:spacing w:before="5"/>
              <w:ind w:right="47"/>
              <w:jc w:val="right"/>
              <w:rPr>
                <w:i/>
                <w:sz w:val="20"/>
              </w:rPr>
            </w:pPr>
            <w:r>
              <w:rPr>
                <w:i/>
                <w:w w:val="95"/>
                <w:sz w:val="20"/>
              </w:rPr>
              <w:t>2.744,05</w:t>
            </w:r>
          </w:p>
        </w:tc>
      </w:tr>
    </w:tbl>
    <w:p>
      <w:pPr>
        <w:spacing w:after="0"/>
        <w:jc w:val="right"/>
        <w:rPr>
          <w:sz w:val="20"/>
        </w:rPr>
        <w:sectPr>
          <w:pgSz w:w="11910" w:h="16840"/>
          <w:pgMar w:header="1217" w:footer="0" w:top="2740" w:bottom="280" w:left="1300" w:right="1440"/>
        </w:sectPr>
      </w:pPr>
    </w:p>
    <w:p>
      <w:pPr>
        <w:pStyle w:val="BodyText"/>
        <w:rPr>
          <w:rFonts w:ascii="Arial"/>
          <w:b/>
          <w:sz w:val="20"/>
        </w:rPr>
      </w:pPr>
    </w:p>
    <w:p>
      <w:pPr>
        <w:pStyle w:val="BodyText"/>
        <w:spacing w:before="6"/>
        <w:rPr>
          <w:rFonts w:ascii="Arial"/>
          <w:b/>
          <w:sz w:val="27"/>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37" w:hRule="atLeast"/>
        </w:trPr>
        <w:tc>
          <w:tcPr>
            <w:tcW w:w="4368" w:type="dxa"/>
          </w:tcPr>
          <w:p>
            <w:pPr>
              <w:pStyle w:val="TableParagraph"/>
              <w:spacing w:line="217" w:lineRule="exact"/>
              <w:ind w:left="50"/>
              <w:rPr>
                <w:sz w:val="20"/>
              </w:rPr>
            </w:pPr>
            <w:r>
              <w:rPr>
                <w:sz w:val="20"/>
              </w:rPr>
              <w:t>Importe Recaudado</w:t>
            </w:r>
          </w:p>
        </w:tc>
        <w:tc>
          <w:tcPr>
            <w:tcW w:w="1408" w:type="dxa"/>
          </w:tcPr>
          <w:p>
            <w:pPr>
              <w:pStyle w:val="TableParagraph"/>
              <w:spacing w:line="217" w:lineRule="exact"/>
              <w:ind w:right="46"/>
              <w:jc w:val="right"/>
              <w:rPr>
                <w:i/>
                <w:sz w:val="20"/>
              </w:rPr>
            </w:pPr>
            <w:r>
              <w:rPr>
                <w:i/>
                <w:w w:val="95"/>
                <w:sz w:val="20"/>
              </w:rPr>
              <w:t>1.967,19</w:t>
            </w:r>
          </w:p>
        </w:tc>
      </w:tr>
      <w:tr>
        <w:trPr>
          <w:trHeight w:val="248" w:hRule="atLeast"/>
        </w:trPr>
        <w:tc>
          <w:tcPr>
            <w:tcW w:w="4368" w:type="dxa"/>
          </w:tcPr>
          <w:p>
            <w:pPr>
              <w:pStyle w:val="TableParagraph"/>
              <w:spacing w:line="221" w:lineRule="exact" w:before="7"/>
              <w:ind w:left="50"/>
              <w:rPr>
                <w:sz w:val="20"/>
              </w:rPr>
            </w:pPr>
            <w:r>
              <w:rPr>
                <w:sz w:val="20"/>
              </w:rPr>
              <w:t>% recaudado s/Importe bruto Padrón Fiscal</w:t>
            </w:r>
          </w:p>
        </w:tc>
        <w:tc>
          <w:tcPr>
            <w:tcW w:w="1408" w:type="dxa"/>
          </w:tcPr>
          <w:p>
            <w:pPr>
              <w:pStyle w:val="TableParagraph"/>
              <w:spacing w:line="221" w:lineRule="exact" w:before="7"/>
              <w:ind w:right="47"/>
              <w:jc w:val="right"/>
              <w:rPr>
                <w:i/>
                <w:sz w:val="20"/>
              </w:rPr>
            </w:pPr>
            <w:r>
              <w:rPr>
                <w:i/>
                <w:sz w:val="20"/>
              </w:rPr>
              <w:t>70,81%</w:t>
            </w:r>
          </w:p>
        </w:tc>
      </w:tr>
      <w:tr>
        <w:trPr>
          <w:trHeight w:val="294" w:hRule="atLeast"/>
        </w:trPr>
        <w:tc>
          <w:tcPr>
            <w:tcW w:w="4368" w:type="dxa"/>
          </w:tcPr>
          <w:p>
            <w:pPr>
              <w:pStyle w:val="TableParagraph"/>
              <w:spacing w:line="240" w:lineRule="auto" w:before="4"/>
              <w:ind w:left="50"/>
              <w:rPr>
                <w:sz w:val="20"/>
              </w:rPr>
            </w:pPr>
            <w:r>
              <w:rPr>
                <w:sz w:val="20"/>
              </w:rPr>
              <w:t>% recaudado s/Importe neto Padrón Fiscal</w:t>
            </w:r>
          </w:p>
        </w:tc>
        <w:tc>
          <w:tcPr>
            <w:tcW w:w="1408" w:type="dxa"/>
          </w:tcPr>
          <w:p>
            <w:pPr>
              <w:pStyle w:val="TableParagraph"/>
              <w:spacing w:line="240" w:lineRule="auto" w:before="4"/>
              <w:ind w:right="47"/>
              <w:jc w:val="right"/>
              <w:rPr>
                <w:i/>
                <w:sz w:val="20"/>
              </w:rPr>
            </w:pPr>
            <w:r>
              <w:rPr>
                <w:i/>
                <w:sz w:val="20"/>
              </w:rPr>
              <w:t>71,69%</w:t>
            </w:r>
          </w:p>
        </w:tc>
      </w:tr>
      <w:tr>
        <w:trPr>
          <w:trHeight w:val="322" w:hRule="atLeast"/>
        </w:trPr>
        <w:tc>
          <w:tcPr>
            <w:tcW w:w="4368" w:type="dxa"/>
          </w:tcPr>
          <w:p>
            <w:pPr>
              <w:pStyle w:val="TableParagraph"/>
              <w:spacing w:line="240" w:lineRule="auto" w:before="53"/>
              <w:ind w:left="54"/>
              <w:rPr>
                <w:i/>
                <w:sz w:val="20"/>
              </w:rPr>
            </w:pPr>
            <w:r>
              <w:rPr>
                <w:i/>
                <w:sz w:val="20"/>
              </w:rPr>
              <w:t>AU</w:t>
            </w:r>
          </w:p>
        </w:tc>
        <w:tc>
          <w:tcPr>
            <w:tcW w:w="1408" w:type="dxa"/>
          </w:tcPr>
          <w:p>
            <w:pPr>
              <w:pStyle w:val="TableParagraph"/>
              <w:spacing w:line="240" w:lineRule="auto"/>
              <w:rPr>
                <w:rFonts w:ascii="Times New Roman"/>
                <w:sz w:val="18"/>
              </w:rPr>
            </w:pPr>
          </w:p>
        </w:tc>
      </w:tr>
      <w:tr>
        <w:trPr>
          <w:trHeight w:val="273" w:hRule="atLeast"/>
        </w:trPr>
        <w:tc>
          <w:tcPr>
            <w:tcW w:w="4368" w:type="dxa"/>
          </w:tcPr>
          <w:p>
            <w:pPr>
              <w:pStyle w:val="TableParagraph"/>
              <w:spacing w:line="221" w:lineRule="exact" w:before="32"/>
              <w:ind w:left="50"/>
              <w:rPr>
                <w:sz w:val="20"/>
              </w:rPr>
            </w:pPr>
            <w:r>
              <w:rPr>
                <w:sz w:val="20"/>
              </w:rPr>
              <w:t>Importe bruto Padrón Fiscal</w:t>
            </w:r>
          </w:p>
        </w:tc>
        <w:tc>
          <w:tcPr>
            <w:tcW w:w="1408" w:type="dxa"/>
          </w:tcPr>
          <w:p>
            <w:pPr>
              <w:pStyle w:val="TableParagraph"/>
              <w:spacing w:line="221" w:lineRule="exact" w:before="32"/>
              <w:ind w:right="52"/>
              <w:jc w:val="right"/>
              <w:rPr>
                <w:i/>
                <w:sz w:val="20"/>
              </w:rPr>
            </w:pPr>
            <w:r>
              <w:rPr>
                <w:i/>
                <w:sz w:val="20"/>
              </w:rPr>
              <w:t>27.862,13</w:t>
            </w:r>
          </w:p>
        </w:tc>
      </w:tr>
      <w:tr>
        <w:trPr>
          <w:trHeight w:val="245" w:hRule="atLeast"/>
        </w:trPr>
        <w:tc>
          <w:tcPr>
            <w:tcW w:w="4368" w:type="dxa"/>
          </w:tcPr>
          <w:p>
            <w:pPr>
              <w:pStyle w:val="TableParagraph"/>
              <w:spacing w:line="222" w:lineRule="exact" w:before="4"/>
              <w:ind w:left="50"/>
              <w:rPr>
                <w:sz w:val="20"/>
              </w:rPr>
            </w:pPr>
            <w:r>
              <w:rPr>
                <w:sz w:val="20"/>
              </w:rPr>
              <w:t>Anulaciones</w:t>
            </w:r>
          </w:p>
        </w:tc>
        <w:tc>
          <w:tcPr>
            <w:tcW w:w="1408" w:type="dxa"/>
          </w:tcPr>
          <w:p>
            <w:pPr>
              <w:pStyle w:val="TableParagraph"/>
              <w:spacing w:line="222" w:lineRule="exact" w:before="4"/>
              <w:ind w:right="47"/>
              <w:jc w:val="right"/>
              <w:rPr>
                <w:i/>
                <w:sz w:val="20"/>
              </w:rPr>
            </w:pPr>
            <w:r>
              <w:rPr>
                <w:i/>
                <w:w w:val="95"/>
                <w:sz w:val="20"/>
              </w:rPr>
              <w:t>0,00</w:t>
            </w:r>
          </w:p>
        </w:tc>
      </w:tr>
      <w:tr>
        <w:trPr>
          <w:trHeight w:val="248" w:hRule="atLeast"/>
        </w:trPr>
        <w:tc>
          <w:tcPr>
            <w:tcW w:w="4368" w:type="dxa"/>
          </w:tcPr>
          <w:p>
            <w:pPr>
              <w:pStyle w:val="TableParagraph"/>
              <w:spacing w:line="223" w:lineRule="exact" w:before="5"/>
              <w:ind w:left="50"/>
              <w:rPr>
                <w:sz w:val="20"/>
              </w:rPr>
            </w:pPr>
            <w:r>
              <w:rPr>
                <w:sz w:val="20"/>
              </w:rPr>
              <w:t>Importe neto Padrón Fiscal</w:t>
            </w:r>
          </w:p>
        </w:tc>
        <w:tc>
          <w:tcPr>
            <w:tcW w:w="1408" w:type="dxa"/>
          </w:tcPr>
          <w:p>
            <w:pPr>
              <w:pStyle w:val="TableParagraph"/>
              <w:spacing w:line="223" w:lineRule="exact" w:before="5"/>
              <w:ind w:right="47"/>
              <w:jc w:val="right"/>
              <w:rPr>
                <w:i/>
                <w:sz w:val="20"/>
              </w:rPr>
            </w:pPr>
            <w:r>
              <w:rPr>
                <w:i/>
                <w:sz w:val="20"/>
              </w:rPr>
              <w:t>27.862,13</w:t>
            </w:r>
          </w:p>
        </w:tc>
      </w:tr>
      <w:tr>
        <w:trPr>
          <w:trHeight w:val="249" w:hRule="atLeast"/>
        </w:trPr>
        <w:tc>
          <w:tcPr>
            <w:tcW w:w="4368" w:type="dxa"/>
          </w:tcPr>
          <w:p>
            <w:pPr>
              <w:pStyle w:val="TableParagraph"/>
              <w:spacing w:line="224" w:lineRule="exact" w:before="6"/>
              <w:ind w:left="50"/>
              <w:rPr>
                <w:sz w:val="20"/>
              </w:rPr>
            </w:pPr>
            <w:r>
              <w:rPr>
                <w:sz w:val="20"/>
              </w:rPr>
              <w:t>Importe Recaudado</w:t>
            </w:r>
          </w:p>
        </w:tc>
        <w:tc>
          <w:tcPr>
            <w:tcW w:w="1408" w:type="dxa"/>
          </w:tcPr>
          <w:p>
            <w:pPr>
              <w:pStyle w:val="TableParagraph"/>
              <w:spacing w:line="224" w:lineRule="exact" w:before="6"/>
              <w:ind w:right="47"/>
              <w:jc w:val="right"/>
              <w:rPr>
                <w:i/>
                <w:sz w:val="20"/>
              </w:rPr>
            </w:pPr>
            <w:r>
              <w:rPr>
                <w:i/>
                <w:sz w:val="20"/>
              </w:rPr>
              <w:t>27.862,13</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8"/>
              <w:jc w:val="right"/>
              <w:rPr>
                <w:i/>
                <w:sz w:val="20"/>
              </w:rPr>
            </w:pPr>
            <w:r>
              <w:rPr>
                <w:i/>
                <w:w w:val="95"/>
                <w:sz w:val="20"/>
              </w:rPr>
              <w:t>100,00%</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8"/>
              <w:jc w:val="right"/>
              <w:rPr>
                <w:i/>
                <w:sz w:val="20"/>
              </w:rPr>
            </w:pPr>
            <w:r>
              <w:rPr>
                <w:i/>
                <w:w w:val="95"/>
                <w:sz w:val="20"/>
              </w:rPr>
              <w:t>100,00%</w:t>
            </w:r>
          </w:p>
        </w:tc>
      </w:tr>
    </w:tbl>
    <w:p>
      <w:pPr>
        <w:pStyle w:val="BodyText"/>
        <w:spacing w:before="10"/>
        <w:rPr>
          <w:rFonts w:ascii="Arial"/>
          <w:b/>
          <w:sz w:val="13"/>
        </w:rPr>
      </w:pPr>
    </w:p>
    <w:p>
      <w:pPr>
        <w:spacing w:before="93"/>
        <w:ind w:left="402" w:right="0" w:firstLine="0"/>
        <w:jc w:val="left"/>
        <w:rPr>
          <w:rFonts w:ascii="Arial"/>
          <w:b/>
          <w:sz w:val="20"/>
        </w:rPr>
      </w:pPr>
      <w:r>
        <w:rPr>
          <w:rFonts w:ascii="Arial"/>
          <w:b/>
          <w:sz w:val="20"/>
        </w:rPr>
        <w:t>MULTAS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62" w:hRule="atLeast"/>
        </w:trPr>
        <w:tc>
          <w:tcPr>
            <w:tcW w:w="4368" w:type="dxa"/>
          </w:tcPr>
          <w:p>
            <w:pPr>
              <w:pStyle w:val="TableParagraph"/>
              <w:spacing w:line="223" w:lineRule="exact"/>
              <w:ind w:left="54"/>
              <w:rPr>
                <w:i/>
                <w:sz w:val="20"/>
              </w:rPr>
            </w:pPr>
            <w:r>
              <w:rPr>
                <w:i/>
                <w:sz w:val="20"/>
              </w:rPr>
              <w:t>ID</w:t>
            </w:r>
          </w:p>
        </w:tc>
        <w:tc>
          <w:tcPr>
            <w:tcW w:w="1408" w:type="dxa"/>
          </w:tcPr>
          <w:p>
            <w:pPr>
              <w:pStyle w:val="TableParagraph"/>
              <w:spacing w:line="240" w:lineRule="auto"/>
              <w:rPr>
                <w:rFonts w:ascii="Times New Roman"/>
                <w:sz w:val="18"/>
              </w:rPr>
            </w:pPr>
          </w:p>
        </w:tc>
      </w:tr>
      <w:tr>
        <w:trPr>
          <w:trHeight w:val="273" w:hRule="atLeast"/>
        </w:trPr>
        <w:tc>
          <w:tcPr>
            <w:tcW w:w="4368" w:type="dxa"/>
          </w:tcPr>
          <w:p>
            <w:pPr>
              <w:pStyle w:val="TableParagraph"/>
              <w:spacing w:line="221" w:lineRule="exact" w:before="32"/>
              <w:ind w:left="50"/>
              <w:rPr>
                <w:sz w:val="20"/>
              </w:rPr>
            </w:pPr>
            <w:r>
              <w:rPr>
                <w:sz w:val="20"/>
              </w:rPr>
              <w:t>Importe bruto Padrón Fiscal</w:t>
            </w:r>
          </w:p>
        </w:tc>
        <w:tc>
          <w:tcPr>
            <w:tcW w:w="1408" w:type="dxa"/>
          </w:tcPr>
          <w:p>
            <w:pPr>
              <w:pStyle w:val="TableParagraph"/>
              <w:spacing w:line="221" w:lineRule="exact" w:before="32"/>
              <w:ind w:right="52"/>
              <w:jc w:val="right"/>
              <w:rPr>
                <w:i/>
                <w:sz w:val="20"/>
              </w:rPr>
            </w:pPr>
            <w:r>
              <w:rPr>
                <w:i/>
                <w:sz w:val="20"/>
              </w:rPr>
              <w:t>98.940,00</w:t>
            </w:r>
          </w:p>
        </w:tc>
      </w:tr>
      <w:tr>
        <w:trPr>
          <w:trHeight w:val="244" w:hRule="atLeast"/>
        </w:trPr>
        <w:tc>
          <w:tcPr>
            <w:tcW w:w="4368" w:type="dxa"/>
          </w:tcPr>
          <w:p>
            <w:pPr>
              <w:pStyle w:val="TableParagraph"/>
              <w:spacing w:line="221" w:lineRule="exact" w:before="4"/>
              <w:ind w:left="50"/>
              <w:rPr>
                <w:sz w:val="20"/>
              </w:rPr>
            </w:pPr>
            <w:r>
              <w:rPr>
                <w:sz w:val="20"/>
              </w:rPr>
              <w:t>Anulaciones</w:t>
            </w:r>
          </w:p>
        </w:tc>
        <w:tc>
          <w:tcPr>
            <w:tcW w:w="1408" w:type="dxa"/>
          </w:tcPr>
          <w:p>
            <w:pPr>
              <w:pStyle w:val="TableParagraph"/>
              <w:spacing w:line="221" w:lineRule="exact" w:before="4"/>
              <w:ind w:right="46"/>
              <w:jc w:val="right"/>
              <w:rPr>
                <w:i/>
                <w:sz w:val="20"/>
              </w:rPr>
            </w:pPr>
            <w:r>
              <w:rPr>
                <w:i/>
                <w:w w:val="95"/>
                <w:sz w:val="20"/>
              </w:rPr>
              <w:t>600,00</w:t>
            </w:r>
          </w:p>
        </w:tc>
      </w:tr>
      <w:tr>
        <w:trPr>
          <w:trHeight w:val="248" w:hRule="atLeast"/>
        </w:trPr>
        <w:tc>
          <w:tcPr>
            <w:tcW w:w="4368" w:type="dxa"/>
          </w:tcPr>
          <w:p>
            <w:pPr>
              <w:pStyle w:val="TableParagraph"/>
              <w:spacing w:line="225" w:lineRule="exact" w:before="4"/>
              <w:ind w:left="50"/>
              <w:rPr>
                <w:sz w:val="20"/>
              </w:rPr>
            </w:pPr>
            <w:r>
              <w:rPr>
                <w:sz w:val="20"/>
              </w:rPr>
              <w:t>Importe neto Padrón Fiscal</w:t>
            </w:r>
          </w:p>
        </w:tc>
        <w:tc>
          <w:tcPr>
            <w:tcW w:w="1408" w:type="dxa"/>
          </w:tcPr>
          <w:p>
            <w:pPr>
              <w:pStyle w:val="TableParagraph"/>
              <w:spacing w:line="225" w:lineRule="exact" w:before="4"/>
              <w:ind w:right="47"/>
              <w:jc w:val="right"/>
              <w:rPr>
                <w:i/>
                <w:sz w:val="20"/>
              </w:rPr>
            </w:pPr>
            <w:r>
              <w:rPr>
                <w:i/>
                <w:sz w:val="20"/>
              </w:rPr>
              <w:t>98.340,00</w:t>
            </w:r>
          </w:p>
        </w:tc>
      </w:tr>
      <w:tr>
        <w:trPr>
          <w:trHeight w:val="250" w:hRule="atLeast"/>
        </w:trPr>
        <w:tc>
          <w:tcPr>
            <w:tcW w:w="4368" w:type="dxa"/>
          </w:tcPr>
          <w:p>
            <w:pPr>
              <w:pStyle w:val="TableParagraph"/>
              <w:spacing w:line="223" w:lineRule="exact" w:before="7"/>
              <w:ind w:left="50"/>
              <w:rPr>
                <w:sz w:val="20"/>
              </w:rPr>
            </w:pPr>
            <w:r>
              <w:rPr>
                <w:sz w:val="20"/>
              </w:rPr>
              <w:t>Importe Recaudado</w:t>
            </w:r>
          </w:p>
        </w:tc>
        <w:tc>
          <w:tcPr>
            <w:tcW w:w="1408" w:type="dxa"/>
          </w:tcPr>
          <w:p>
            <w:pPr>
              <w:pStyle w:val="TableParagraph"/>
              <w:spacing w:line="223" w:lineRule="exact" w:before="7"/>
              <w:ind w:right="46"/>
              <w:jc w:val="right"/>
              <w:rPr>
                <w:i/>
                <w:sz w:val="20"/>
              </w:rPr>
            </w:pPr>
            <w:r>
              <w:rPr>
                <w:i/>
                <w:w w:val="95"/>
                <w:sz w:val="20"/>
              </w:rPr>
              <w:t>6.360,00</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8"/>
              <w:jc w:val="right"/>
              <w:rPr>
                <w:i/>
                <w:sz w:val="20"/>
              </w:rPr>
            </w:pPr>
            <w:r>
              <w:rPr>
                <w:i/>
                <w:w w:val="95"/>
                <w:sz w:val="20"/>
              </w:rPr>
              <w:t>6,43%</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8"/>
              <w:jc w:val="right"/>
              <w:rPr>
                <w:i/>
                <w:sz w:val="20"/>
              </w:rPr>
            </w:pPr>
            <w:r>
              <w:rPr>
                <w:i/>
                <w:w w:val="95"/>
                <w:sz w:val="20"/>
              </w:rPr>
              <w:t>6,47%</w:t>
            </w:r>
          </w:p>
        </w:tc>
      </w:tr>
    </w:tbl>
    <w:p>
      <w:pPr>
        <w:pStyle w:val="BodyText"/>
        <w:spacing w:before="11"/>
        <w:rPr>
          <w:rFonts w:ascii="Arial"/>
          <w:b/>
          <w:sz w:val="21"/>
        </w:rPr>
      </w:pPr>
    </w:p>
    <w:p>
      <w:pPr>
        <w:spacing w:before="0"/>
        <w:ind w:left="402" w:right="0" w:firstLine="0"/>
        <w:jc w:val="left"/>
        <w:rPr>
          <w:rFonts w:ascii="Arial"/>
          <w:b/>
          <w:sz w:val="20"/>
        </w:rPr>
      </w:pPr>
      <w:r>
        <w:rPr>
          <w:rFonts w:ascii="Arial"/>
          <w:b/>
          <w:sz w:val="20"/>
        </w:rPr>
        <w:t>OCUPACION MESAS Y SILLAS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1"/>
        <w:gridCol w:w="1356"/>
      </w:tblGrid>
      <w:tr>
        <w:trPr>
          <w:trHeight w:val="262" w:hRule="atLeast"/>
        </w:trPr>
        <w:tc>
          <w:tcPr>
            <w:tcW w:w="4421" w:type="dxa"/>
          </w:tcPr>
          <w:p>
            <w:pPr>
              <w:pStyle w:val="TableParagraph"/>
              <w:spacing w:line="223" w:lineRule="exact"/>
              <w:ind w:left="54"/>
              <w:rPr>
                <w:i/>
                <w:sz w:val="20"/>
              </w:rPr>
            </w:pPr>
            <w:r>
              <w:rPr>
                <w:i/>
                <w:sz w:val="20"/>
              </w:rPr>
              <w:t>RB</w:t>
            </w:r>
          </w:p>
        </w:tc>
        <w:tc>
          <w:tcPr>
            <w:tcW w:w="1356" w:type="dxa"/>
          </w:tcPr>
          <w:p>
            <w:pPr>
              <w:pStyle w:val="TableParagraph"/>
              <w:spacing w:line="240" w:lineRule="auto"/>
              <w:rPr>
                <w:rFonts w:ascii="Times New Roman"/>
                <w:sz w:val="18"/>
              </w:rPr>
            </w:pPr>
          </w:p>
        </w:tc>
      </w:tr>
      <w:tr>
        <w:trPr>
          <w:trHeight w:val="273" w:hRule="atLeast"/>
        </w:trPr>
        <w:tc>
          <w:tcPr>
            <w:tcW w:w="4421" w:type="dxa"/>
          </w:tcPr>
          <w:p>
            <w:pPr>
              <w:pStyle w:val="TableParagraph"/>
              <w:spacing w:line="221" w:lineRule="exact" w:before="33"/>
              <w:ind w:left="50"/>
              <w:rPr>
                <w:sz w:val="20"/>
              </w:rPr>
            </w:pPr>
            <w:r>
              <w:rPr>
                <w:sz w:val="20"/>
              </w:rPr>
              <w:t>Importe bruto Padrón Fiscal</w:t>
            </w:r>
          </w:p>
        </w:tc>
        <w:tc>
          <w:tcPr>
            <w:tcW w:w="1356" w:type="dxa"/>
          </w:tcPr>
          <w:p>
            <w:pPr>
              <w:pStyle w:val="TableParagraph"/>
              <w:spacing w:line="221" w:lineRule="exact" w:before="33"/>
              <w:ind w:right="52"/>
              <w:jc w:val="right"/>
              <w:rPr>
                <w:i/>
                <w:sz w:val="20"/>
              </w:rPr>
            </w:pPr>
            <w:r>
              <w:rPr>
                <w:i/>
                <w:w w:val="95"/>
                <w:sz w:val="20"/>
              </w:rPr>
              <w:t>2.654,40</w:t>
            </w:r>
          </w:p>
        </w:tc>
      </w:tr>
      <w:tr>
        <w:trPr>
          <w:trHeight w:val="244" w:hRule="atLeast"/>
        </w:trPr>
        <w:tc>
          <w:tcPr>
            <w:tcW w:w="4421" w:type="dxa"/>
          </w:tcPr>
          <w:p>
            <w:pPr>
              <w:pStyle w:val="TableParagraph"/>
              <w:spacing w:line="221" w:lineRule="exact" w:before="4"/>
              <w:ind w:left="50"/>
              <w:rPr>
                <w:sz w:val="20"/>
              </w:rPr>
            </w:pPr>
            <w:r>
              <w:rPr>
                <w:sz w:val="20"/>
              </w:rPr>
              <w:t>Anulaciones</w:t>
            </w:r>
          </w:p>
        </w:tc>
        <w:tc>
          <w:tcPr>
            <w:tcW w:w="1356" w:type="dxa"/>
          </w:tcPr>
          <w:p>
            <w:pPr>
              <w:pStyle w:val="TableParagraph"/>
              <w:spacing w:line="221" w:lineRule="exact" w:before="4"/>
              <w:ind w:right="48"/>
              <w:jc w:val="right"/>
              <w:rPr>
                <w:i/>
                <w:sz w:val="20"/>
              </w:rPr>
            </w:pPr>
            <w:r>
              <w:rPr>
                <w:i/>
                <w:w w:val="95"/>
                <w:sz w:val="20"/>
              </w:rPr>
              <w:t>0,00</w:t>
            </w:r>
          </w:p>
        </w:tc>
      </w:tr>
      <w:tr>
        <w:trPr>
          <w:trHeight w:val="248" w:hRule="atLeast"/>
        </w:trPr>
        <w:tc>
          <w:tcPr>
            <w:tcW w:w="4421" w:type="dxa"/>
          </w:tcPr>
          <w:p>
            <w:pPr>
              <w:pStyle w:val="TableParagraph"/>
              <w:spacing w:line="225" w:lineRule="exact" w:before="4"/>
              <w:ind w:left="50"/>
              <w:rPr>
                <w:sz w:val="20"/>
              </w:rPr>
            </w:pPr>
            <w:r>
              <w:rPr>
                <w:sz w:val="20"/>
              </w:rPr>
              <w:t>Importe neto Padrón Fiscal</w:t>
            </w:r>
          </w:p>
        </w:tc>
        <w:tc>
          <w:tcPr>
            <w:tcW w:w="1356" w:type="dxa"/>
          </w:tcPr>
          <w:p>
            <w:pPr>
              <w:pStyle w:val="TableParagraph"/>
              <w:spacing w:line="225" w:lineRule="exact" w:before="4"/>
              <w:ind w:right="47"/>
              <w:jc w:val="right"/>
              <w:rPr>
                <w:i/>
                <w:sz w:val="20"/>
              </w:rPr>
            </w:pPr>
            <w:r>
              <w:rPr>
                <w:i/>
                <w:w w:val="95"/>
                <w:sz w:val="20"/>
              </w:rPr>
              <w:t>2.654,40</w:t>
            </w:r>
          </w:p>
        </w:tc>
      </w:tr>
      <w:tr>
        <w:trPr>
          <w:trHeight w:val="250" w:hRule="atLeast"/>
        </w:trPr>
        <w:tc>
          <w:tcPr>
            <w:tcW w:w="4421" w:type="dxa"/>
          </w:tcPr>
          <w:p>
            <w:pPr>
              <w:pStyle w:val="TableParagraph"/>
              <w:spacing w:line="223" w:lineRule="exact" w:before="7"/>
              <w:ind w:left="50"/>
              <w:rPr>
                <w:sz w:val="20"/>
              </w:rPr>
            </w:pPr>
            <w:r>
              <w:rPr>
                <w:sz w:val="20"/>
              </w:rPr>
              <w:t>Importe Recaudado</w:t>
            </w:r>
          </w:p>
        </w:tc>
        <w:tc>
          <w:tcPr>
            <w:tcW w:w="1356" w:type="dxa"/>
          </w:tcPr>
          <w:p>
            <w:pPr>
              <w:pStyle w:val="TableParagraph"/>
              <w:spacing w:line="223" w:lineRule="exact" w:before="7"/>
              <w:ind w:right="48"/>
              <w:jc w:val="right"/>
              <w:rPr>
                <w:i/>
                <w:sz w:val="20"/>
              </w:rPr>
            </w:pPr>
            <w:r>
              <w:rPr>
                <w:i/>
                <w:w w:val="95"/>
                <w:sz w:val="20"/>
              </w:rPr>
              <w:t>0,00</w:t>
            </w:r>
          </w:p>
        </w:tc>
      </w:tr>
      <w:tr>
        <w:trPr>
          <w:trHeight w:val="247" w:hRule="atLeast"/>
        </w:trPr>
        <w:tc>
          <w:tcPr>
            <w:tcW w:w="4421" w:type="dxa"/>
          </w:tcPr>
          <w:p>
            <w:pPr>
              <w:pStyle w:val="TableParagraph"/>
              <w:spacing w:line="221" w:lineRule="exact" w:before="6"/>
              <w:ind w:left="50"/>
              <w:rPr>
                <w:sz w:val="20"/>
              </w:rPr>
            </w:pPr>
            <w:r>
              <w:rPr>
                <w:sz w:val="20"/>
              </w:rPr>
              <w:t>% recaudado s/Importe bruto Padrón Fiscal</w:t>
            </w:r>
          </w:p>
        </w:tc>
        <w:tc>
          <w:tcPr>
            <w:tcW w:w="1356" w:type="dxa"/>
          </w:tcPr>
          <w:p>
            <w:pPr>
              <w:pStyle w:val="TableParagraph"/>
              <w:spacing w:line="221" w:lineRule="exact" w:before="6"/>
              <w:ind w:right="49"/>
              <w:jc w:val="right"/>
              <w:rPr>
                <w:i/>
                <w:sz w:val="20"/>
              </w:rPr>
            </w:pPr>
            <w:r>
              <w:rPr>
                <w:i/>
                <w:w w:val="95"/>
                <w:sz w:val="20"/>
              </w:rPr>
              <w:t>0,00%</w:t>
            </w:r>
          </w:p>
        </w:tc>
      </w:tr>
      <w:tr>
        <w:trPr>
          <w:trHeight w:val="306" w:hRule="atLeast"/>
        </w:trPr>
        <w:tc>
          <w:tcPr>
            <w:tcW w:w="4421" w:type="dxa"/>
          </w:tcPr>
          <w:p>
            <w:pPr>
              <w:pStyle w:val="TableParagraph"/>
              <w:spacing w:line="240" w:lineRule="auto" w:before="4"/>
              <w:ind w:left="50"/>
              <w:rPr>
                <w:sz w:val="20"/>
              </w:rPr>
            </w:pPr>
            <w:r>
              <w:rPr>
                <w:sz w:val="20"/>
              </w:rPr>
              <w:t>% recaudado s/Importe neto Padrón Fiscal</w:t>
            </w:r>
          </w:p>
        </w:tc>
        <w:tc>
          <w:tcPr>
            <w:tcW w:w="1356" w:type="dxa"/>
          </w:tcPr>
          <w:p>
            <w:pPr>
              <w:pStyle w:val="TableParagraph"/>
              <w:spacing w:line="240" w:lineRule="auto" w:before="4"/>
              <w:ind w:right="49"/>
              <w:jc w:val="right"/>
              <w:rPr>
                <w:i/>
                <w:sz w:val="20"/>
              </w:rPr>
            </w:pPr>
            <w:r>
              <w:rPr>
                <w:i/>
                <w:w w:val="95"/>
                <w:sz w:val="20"/>
              </w:rPr>
              <w:t>0,00%</w:t>
            </w:r>
          </w:p>
        </w:tc>
      </w:tr>
      <w:tr>
        <w:trPr>
          <w:trHeight w:val="334" w:hRule="atLeast"/>
        </w:trPr>
        <w:tc>
          <w:tcPr>
            <w:tcW w:w="4421" w:type="dxa"/>
          </w:tcPr>
          <w:p>
            <w:pPr>
              <w:pStyle w:val="TableParagraph"/>
              <w:spacing w:line="240" w:lineRule="auto" w:before="65"/>
              <w:ind w:left="54"/>
              <w:rPr>
                <w:i/>
                <w:sz w:val="20"/>
              </w:rPr>
            </w:pPr>
            <w:r>
              <w:rPr>
                <w:i/>
                <w:sz w:val="20"/>
              </w:rPr>
              <w:t>ID</w:t>
            </w:r>
          </w:p>
        </w:tc>
        <w:tc>
          <w:tcPr>
            <w:tcW w:w="1356" w:type="dxa"/>
          </w:tcPr>
          <w:p>
            <w:pPr>
              <w:pStyle w:val="TableParagraph"/>
              <w:spacing w:line="240" w:lineRule="auto"/>
              <w:rPr>
                <w:rFonts w:ascii="Times New Roman"/>
                <w:sz w:val="18"/>
              </w:rPr>
            </w:pPr>
          </w:p>
        </w:tc>
      </w:tr>
      <w:tr>
        <w:trPr>
          <w:trHeight w:val="273" w:hRule="atLeast"/>
        </w:trPr>
        <w:tc>
          <w:tcPr>
            <w:tcW w:w="4421" w:type="dxa"/>
          </w:tcPr>
          <w:p>
            <w:pPr>
              <w:pStyle w:val="TableParagraph"/>
              <w:spacing w:line="221" w:lineRule="exact" w:before="32"/>
              <w:ind w:left="50"/>
              <w:rPr>
                <w:sz w:val="20"/>
              </w:rPr>
            </w:pPr>
            <w:r>
              <w:rPr>
                <w:sz w:val="20"/>
              </w:rPr>
              <w:t>Importe bruto Padrón Fiscal</w:t>
            </w:r>
          </w:p>
        </w:tc>
        <w:tc>
          <w:tcPr>
            <w:tcW w:w="1356" w:type="dxa"/>
          </w:tcPr>
          <w:p>
            <w:pPr>
              <w:pStyle w:val="TableParagraph"/>
              <w:spacing w:line="221" w:lineRule="exact" w:before="32"/>
              <w:ind w:right="52"/>
              <w:jc w:val="right"/>
              <w:rPr>
                <w:i/>
                <w:sz w:val="20"/>
              </w:rPr>
            </w:pPr>
            <w:r>
              <w:rPr>
                <w:i/>
                <w:w w:val="95"/>
                <w:sz w:val="20"/>
              </w:rPr>
              <w:t>6.476,76</w:t>
            </w:r>
          </w:p>
        </w:tc>
      </w:tr>
      <w:tr>
        <w:trPr>
          <w:trHeight w:val="246" w:hRule="atLeast"/>
        </w:trPr>
        <w:tc>
          <w:tcPr>
            <w:tcW w:w="4421" w:type="dxa"/>
          </w:tcPr>
          <w:p>
            <w:pPr>
              <w:pStyle w:val="TableParagraph"/>
              <w:spacing w:line="222" w:lineRule="exact" w:before="4"/>
              <w:ind w:left="50"/>
              <w:rPr>
                <w:sz w:val="20"/>
              </w:rPr>
            </w:pPr>
            <w:r>
              <w:rPr>
                <w:sz w:val="20"/>
              </w:rPr>
              <w:t>Anulaciones</w:t>
            </w:r>
          </w:p>
        </w:tc>
        <w:tc>
          <w:tcPr>
            <w:tcW w:w="1356" w:type="dxa"/>
          </w:tcPr>
          <w:p>
            <w:pPr>
              <w:pStyle w:val="TableParagraph"/>
              <w:spacing w:line="222" w:lineRule="exact" w:before="4"/>
              <w:ind w:right="48"/>
              <w:jc w:val="right"/>
              <w:rPr>
                <w:i/>
                <w:sz w:val="20"/>
              </w:rPr>
            </w:pPr>
            <w:r>
              <w:rPr>
                <w:i/>
                <w:w w:val="95"/>
                <w:sz w:val="20"/>
              </w:rPr>
              <w:t>0,00</w:t>
            </w:r>
          </w:p>
        </w:tc>
      </w:tr>
      <w:tr>
        <w:trPr>
          <w:trHeight w:val="248" w:hRule="atLeast"/>
        </w:trPr>
        <w:tc>
          <w:tcPr>
            <w:tcW w:w="4421" w:type="dxa"/>
          </w:tcPr>
          <w:p>
            <w:pPr>
              <w:pStyle w:val="TableParagraph"/>
              <w:spacing w:line="223" w:lineRule="exact" w:before="5"/>
              <w:ind w:left="50"/>
              <w:rPr>
                <w:sz w:val="20"/>
              </w:rPr>
            </w:pPr>
            <w:r>
              <w:rPr>
                <w:sz w:val="20"/>
              </w:rPr>
              <w:t>Importe neto Padrón Fiscal</w:t>
            </w:r>
          </w:p>
        </w:tc>
        <w:tc>
          <w:tcPr>
            <w:tcW w:w="1356" w:type="dxa"/>
          </w:tcPr>
          <w:p>
            <w:pPr>
              <w:pStyle w:val="TableParagraph"/>
              <w:spacing w:line="223" w:lineRule="exact" w:before="5"/>
              <w:ind w:right="47"/>
              <w:jc w:val="right"/>
              <w:rPr>
                <w:i/>
                <w:sz w:val="20"/>
              </w:rPr>
            </w:pPr>
            <w:r>
              <w:rPr>
                <w:i/>
                <w:w w:val="95"/>
                <w:sz w:val="20"/>
              </w:rPr>
              <w:t>6.476,76</w:t>
            </w:r>
          </w:p>
        </w:tc>
      </w:tr>
      <w:tr>
        <w:trPr>
          <w:trHeight w:val="249" w:hRule="atLeast"/>
        </w:trPr>
        <w:tc>
          <w:tcPr>
            <w:tcW w:w="4421" w:type="dxa"/>
          </w:tcPr>
          <w:p>
            <w:pPr>
              <w:pStyle w:val="TableParagraph"/>
              <w:spacing w:line="223" w:lineRule="exact" w:before="6"/>
              <w:ind w:left="50"/>
              <w:rPr>
                <w:sz w:val="20"/>
              </w:rPr>
            </w:pPr>
            <w:r>
              <w:rPr>
                <w:sz w:val="20"/>
              </w:rPr>
              <w:t>Importe Recaudado</w:t>
            </w:r>
          </w:p>
        </w:tc>
        <w:tc>
          <w:tcPr>
            <w:tcW w:w="1356" w:type="dxa"/>
          </w:tcPr>
          <w:p>
            <w:pPr>
              <w:pStyle w:val="TableParagraph"/>
              <w:spacing w:line="223" w:lineRule="exact" w:before="6"/>
              <w:ind w:right="47"/>
              <w:jc w:val="right"/>
              <w:rPr>
                <w:i/>
                <w:sz w:val="20"/>
              </w:rPr>
            </w:pPr>
            <w:r>
              <w:rPr>
                <w:i/>
                <w:w w:val="95"/>
                <w:sz w:val="20"/>
              </w:rPr>
              <w:t>6.476,76</w:t>
            </w:r>
          </w:p>
        </w:tc>
      </w:tr>
      <w:tr>
        <w:trPr>
          <w:trHeight w:val="247" w:hRule="atLeast"/>
        </w:trPr>
        <w:tc>
          <w:tcPr>
            <w:tcW w:w="4421" w:type="dxa"/>
          </w:tcPr>
          <w:p>
            <w:pPr>
              <w:pStyle w:val="TableParagraph"/>
              <w:spacing w:line="221" w:lineRule="exact" w:before="6"/>
              <w:ind w:left="50"/>
              <w:rPr>
                <w:sz w:val="20"/>
              </w:rPr>
            </w:pPr>
            <w:r>
              <w:rPr>
                <w:sz w:val="20"/>
              </w:rPr>
              <w:t>% recaudado s/Importe bruto Padrón Fiscal</w:t>
            </w:r>
          </w:p>
        </w:tc>
        <w:tc>
          <w:tcPr>
            <w:tcW w:w="1356" w:type="dxa"/>
          </w:tcPr>
          <w:p>
            <w:pPr>
              <w:pStyle w:val="TableParagraph"/>
              <w:spacing w:line="221" w:lineRule="exact" w:before="6"/>
              <w:ind w:right="49"/>
              <w:jc w:val="right"/>
              <w:rPr>
                <w:i/>
                <w:sz w:val="20"/>
              </w:rPr>
            </w:pPr>
            <w:r>
              <w:rPr>
                <w:i/>
                <w:w w:val="95"/>
                <w:sz w:val="20"/>
              </w:rPr>
              <w:t>100,00%</w:t>
            </w:r>
          </w:p>
        </w:tc>
      </w:tr>
      <w:tr>
        <w:trPr>
          <w:trHeight w:val="233" w:hRule="atLeast"/>
        </w:trPr>
        <w:tc>
          <w:tcPr>
            <w:tcW w:w="4421" w:type="dxa"/>
          </w:tcPr>
          <w:p>
            <w:pPr>
              <w:pStyle w:val="TableParagraph"/>
              <w:spacing w:before="4"/>
              <w:ind w:left="50"/>
              <w:rPr>
                <w:sz w:val="20"/>
              </w:rPr>
            </w:pPr>
            <w:r>
              <w:rPr>
                <w:sz w:val="20"/>
              </w:rPr>
              <w:t>% recaudado s/Importe neto Padrón Fiscal</w:t>
            </w:r>
          </w:p>
        </w:tc>
        <w:tc>
          <w:tcPr>
            <w:tcW w:w="1356" w:type="dxa"/>
          </w:tcPr>
          <w:p>
            <w:pPr>
              <w:pStyle w:val="TableParagraph"/>
              <w:spacing w:before="4"/>
              <w:ind w:right="49"/>
              <w:jc w:val="right"/>
              <w:rPr>
                <w:i/>
                <w:sz w:val="20"/>
              </w:rPr>
            </w:pPr>
            <w:r>
              <w:rPr>
                <w:i/>
                <w:w w:val="95"/>
                <w:sz w:val="20"/>
              </w:rPr>
              <w:t>100,00%</w:t>
            </w:r>
          </w:p>
        </w:tc>
      </w:tr>
    </w:tbl>
    <w:p>
      <w:pPr>
        <w:pStyle w:val="BodyText"/>
        <w:spacing w:before="11"/>
        <w:rPr>
          <w:rFonts w:ascii="Arial"/>
          <w:b/>
          <w:sz w:val="21"/>
        </w:rPr>
      </w:pPr>
    </w:p>
    <w:p>
      <w:pPr>
        <w:spacing w:before="0"/>
        <w:ind w:left="402" w:right="0" w:firstLine="0"/>
        <w:jc w:val="left"/>
        <w:rPr>
          <w:rFonts w:ascii="Arial"/>
          <w:b/>
          <w:sz w:val="20"/>
        </w:rPr>
      </w:pPr>
      <w:r>
        <w:rPr>
          <w:rFonts w:ascii="Arial"/>
          <w:b/>
          <w:sz w:val="20"/>
        </w:rPr>
        <w:t>Tasa de Basura Domiciliaria</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1464"/>
      </w:tblGrid>
      <w:tr>
        <w:trPr>
          <w:trHeight w:val="262" w:hRule="atLeast"/>
        </w:trPr>
        <w:tc>
          <w:tcPr>
            <w:tcW w:w="4313" w:type="dxa"/>
          </w:tcPr>
          <w:p>
            <w:pPr>
              <w:pStyle w:val="TableParagraph"/>
              <w:spacing w:line="223" w:lineRule="exact"/>
              <w:ind w:left="54"/>
              <w:rPr>
                <w:i/>
                <w:sz w:val="20"/>
              </w:rPr>
            </w:pPr>
            <w:r>
              <w:rPr>
                <w:i/>
                <w:sz w:val="20"/>
              </w:rPr>
              <w:t>RB</w:t>
            </w:r>
          </w:p>
        </w:tc>
        <w:tc>
          <w:tcPr>
            <w:tcW w:w="1464" w:type="dxa"/>
          </w:tcPr>
          <w:p>
            <w:pPr>
              <w:pStyle w:val="TableParagraph"/>
              <w:spacing w:line="240" w:lineRule="auto"/>
              <w:rPr>
                <w:rFonts w:ascii="Times New Roman"/>
                <w:sz w:val="18"/>
              </w:rPr>
            </w:pPr>
          </w:p>
        </w:tc>
      </w:tr>
      <w:tr>
        <w:trPr>
          <w:trHeight w:val="273" w:hRule="atLeast"/>
        </w:trPr>
        <w:tc>
          <w:tcPr>
            <w:tcW w:w="4313" w:type="dxa"/>
          </w:tcPr>
          <w:p>
            <w:pPr>
              <w:pStyle w:val="TableParagraph"/>
              <w:spacing w:line="221" w:lineRule="exact" w:before="32"/>
              <w:ind w:left="50"/>
              <w:rPr>
                <w:sz w:val="20"/>
              </w:rPr>
            </w:pPr>
            <w:r>
              <w:rPr>
                <w:sz w:val="20"/>
              </w:rPr>
              <w:t>Importe bruto Padrón Fiscal</w:t>
            </w:r>
          </w:p>
        </w:tc>
        <w:tc>
          <w:tcPr>
            <w:tcW w:w="1464" w:type="dxa"/>
          </w:tcPr>
          <w:p>
            <w:pPr>
              <w:pStyle w:val="TableParagraph"/>
              <w:spacing w:line="221" w:lineRule="exact" w:before="32"/>
              <w:ind w:right="53"/>
              <w:jc w:val="right"/>
              <w:rPr>
                <w:i/>
                <w:sz w:val="20"/>
              </w:rPr>
            </w:pPr>
            <w:r>
              <w:rPr>
                <w:i/>
                <w:sz w:val="20"/>
              </w:rPr>
              <w:t>432.720,00</w:t>
            </w:r>
          </w:p>
        </w:tc>
      </w:tr>
      <w:tr>
        <w:trPr>
          <w:trHeight w:val="244" w:hRule="atLeast"/>
        </w:trPr>
        <w:tc>
          <w:tcPr>
            <w:tcW w:w="4313" w:type="dxa"/>
          </w:tcPr>
          <w:p>
            <w:pPr>
              <w:pStyle w:val="TableParagraph"/>
              <w:spacing w:line="221" w:lineRule="exact" w:before="4"/>
              <w:ind w:left="50"/>
              <w:rPr>
                <w:sz w:val="20"/>
              </w:rPr>
            </w:pPr>
            <w:r>
              <w:rPr>
                <w:sz w:val="20"/>
              </w:rPr>
              <w:t>Anulaciones</w:t>
            </w:r>
          </w:p>
        </w:tc>
        <w:tc>
          <w:tcPr>
            <w:tcW w:w="1464" w:type="dxa"/>
          </w:tcPr>
          <w:p>
            <w:pPr>
              <w:pStyle w:val="TableParagraph"/>
              <w:spacing w:line="221" w:lineRule="exact" w:before="4"/>
              <w:ind w:right="47"/>
              <w:jc w:val="right"/>
              <w:rPr>
                <w:i/>
                <w:sz w:val="20"/>
              </w:rPr>
            </w:pPr>
            <w:r>
              <w:rPr>
                <w:i/>
                <w:w w:val="95"/>
                <w:sz w:val="20"/>
              </w:rPr>
              <w:t>3.420,00</w:t>
            </w:r>
          </w:p>
        </w:tc>
      </w:tr>
      <w:tr>
        <w:trPr>
          <w:trHeight w:val="248" w:hRule="atLeast"/>
        </w:trPr>
        <w:tc>
          <w:tcPr>
            <w:tcW w:w="4313" w:type="dxa"/>
          </w:tcPr>
          <w:p>
            <w:pPr>
              <w:pStyle w:val="TableParagraph"/>
              <w:spacing w:line="225" w:lineRule="exact" w:before="4"/>
              <w:ind w:left="50"/>
              <w:rPr>
                <w:sz w:val="20"/>
              </w:rPr>
            </w:pPr>
            <w:r>
              <w:rPr>
                <w:sz w:val="20"/>
              </w:rPr>
              <w:t>Importe neto Padrón Fiscal</w:t>
            </w:r>
          </w:p>
        </w:tc>
        <w:tc>
          <w:tcPr>
            <w:tcW w:w="1464" w:type="dxa"/>
          </w:tcPr>
          <w:p>
            <w:pPr>
              <w:pStyle w:val="TableParagraph"/>
              <w:spacing w:line="225" w:lineRule="exact" w:before="4"/>
              <w:ind w:right="48"/>
              <w:jc w:val="right"/>
              <w:rPr>
                <w:i/>
                <w:sz w:val="20"/>
              </w:rPr>
            </w:pPr>
            <w:r>
              <w:rPr>
                <w:i/>
                <w:sz w:val="20"/>
              </w:rPr>
              <w:t>429.300,00</w:t>
            </w:r>
          </w:p>
        </w:tc>
      </w:tr>
      <w:tr>
        <w:trPr>
          <w:trHeight w:val="250" w:hRule="atLeast"/>
        </w:trPr>
        <w:tc>
          <w:tcPr>
            <w:tcW w:w="4313" w:type="dxa"/>
          </w:tcPr>
          <w:p>
            <w:pPr>
              <w:pStyle w:val="TableParagraph"/>
              <w:spacing w:line="223" w:lineRule="exact" w:before="7"/>
              <w:ind w:left="50"/>
              <w:rPr>
                <w:sz w:val="20"/>
              </w:rPr>
            </w:pPr>
            <w:r>
              <w:rPr>
                <w:sz w:val="20"/>
              </w:rPr>
              <w:t>Importe Recaudado</w:t>
            </w:r>
          </w:p>
        </w:tc>
        <w:tc>
          <w:tcPr>
            <w:tcW w:w="1464" w:type="dxa"/>
          </w:tcPr>
          <w:p>
            <w:pPr>
              <w:pStyle w:val="TableParagraph"/>
              <w:spacing w:line="223" w:lineRule="exact" w:before="7"/>
              <w:ind w:right="48"/>
              <w:jc w:val="right"/>
              <w:rPr>
                <w:i/>
                <w:sz w:val="20"/>
              </w:rPr>
            </w:pPr>
            <w:r>
              <w:rPr>
                <w:i/>
                <w:sz w:val="20"/>
              </w:rPr>
              <w:t>376.970,71</w:t>
            </w:r>
          </w:p>
        </w:tc>
      </w:tr>
      <w:tr>
        <w:trPr>
          <w:trHeight w:val="247" w:hRule="atLeast"/>
        </w:trPr>
        <w:tc>
          <w:tcPr>
            <w:tcW w:w="4313" w:type="dxa"/>
          </w:tcPr>
          <w:p>
            <w:pPr>
              <w:pStyle w:val="TableParagraph"/>
              <w:spacing w:line="221" w:lineRule="exact" w:before="6"/>
              <w:ind w:left="50"/>
              <w:rPr>
                <w:sz w:val="20"/>
              </w:rPr>
            </w:pPr>
            <w:r>
              <w:rPr>
                <w:sz w:val="20"/>
              </w:rPr>
              <w:t>% recaudado s/Importe bruto Padrón Fiscal</w:t>
            </w:r>
          </w:p>
        </w:tc>
        <w:tc>
          <w:tcPr>
            <w:tcW w:w="1464" w:type="dxa"/>
          </w:tcPr>
          <w:p>
            <w:pPr>
              <w:pStyle w:val="TableParagraph"/>
              <w:spacing w:line="221" w:lineRule="exact" w:before="6"/>
              <w:ind w:right="48"/>
              <w:jc w:val="right"/>
              <w:rPr>
                <w:i/>
                <w:sz w:val="20"/>
              </w:rPr>
            </w:pPr>
            <w:r>
              <w:rPr>
                <w:i/>
                <w:sz w:val="20"/>
              </w:rPr>
              <w:t>87,12%</w:t>
            </w:r>
          </w:p>
        </w:tc>
      </w:tr>
      <w:tr>
        <w:trPr>
          <w:trHeight w:val="480" w:hRule="atLeast"/>
        </w:trPr>
        <w:tc>
          <w:tcPr>
            <w:tcW w:w="4313" w:type="dxa"/>
          </w:tcPr>
          <w:p>
            <w:pPr>
              <w:pStyle w:val="TableParagraph"/>
              <w:spacing w:line="240" w:lineRule="auto" w:before="4"/>
              <w:ind w:left="54"/>
              <w:rPr>
                <w:sz w:val="20"/>
              </w:rPr>
            </w:pPr>
            <w:r>
              <w:rPr>
                <w:sz w:val="20"/>
              </w:rPr>
              <w:t>% recaudado s/Importe neto Padrón Fiscal</w:t>
            </w:r>
          </w:p>
          <w:p>
            <w:pPr>
              <w:pStyle w:val="TableParagraph"/>
              <w:spacing w:before="17"/>
              <w:ind w:left="69"/>
              <w:rPr>
                <w:i/>
                <w:sz w:val="20"/>
              </w:rPr>
            </w:pPr>
            <w:r>
              <w:rPr>
                <w:i/>
                <w:sz w:val="20"/>
              </w:rPr>
              <w:t>ID</w:t>
            </w:r>
          </w:p>
        </w:tc>
        <w:tc>
          <w:tcPr>
            <w:tcW w:w="1464" w:type="dxa"/>
          </w:tcPr>
          <w:p>
            <w:pPr>
              <w:pStyle w:val="TableParagraph"/>
              <w:spacing w:line="240" w:lineRule="auto" w:before="4"/>
              <w:ind w:right="48"/>
              <w:jc w:val="right"/>
              <w:rPr>
                <w:i/>
                <w:sz w:val="20"/>
              </w:rPr>
            </w:pPr>
            <w:r>
              <w:rPr>
                <w:i/>
                <w:sz w:val="20"/>
              </w:rPr>
              <w:t>87,81%</w:t>
            </w:r>
          </w:p>
        </w:tc>
      </w:tr>
    </w:tbl>
    <w:p>
      <w:pPr>
        <w:spacing w:after="0" w:line="240" w:lineRule="auto"/>
        <w:jc w:val="right"/>
        <w:rPr>
          <w:sz w:val="20"/>
        </w:rPr>
        <w:sectPr>
          <w:pgSz w:w="11910" w:h="16840"/>
          <w:pgMar w:header="1217" w:footer="0" w:top="2740" w:bottom="280" w:left="1300" w:right="1440"/>
        </w:sectPr>
      </w:pPr>
    </w:p>
    <w:p>
      <w:pPr>
        <w:pStyle w:val="BodyText"/>
        <w:rPr>
          <w:rFonts w:ascii="Arial"/>
          <w:b/>
          <w:sz w:val="20"/>
        </w:rPr>
      </w:pPr>
    </w:p>
    <w:p>
      <w:pPr>
        <w:pStyle w:val="BodyText"/>
        <w:spacing w:before="8" w:after="1"/>
        <w:rPr>
          <w:rFonts w:ascii="Arial"/>
          <w:b/>
          <w:sz w:val="27"/>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33" w:hRule="atLeast"/>
        </w:trPr>
        <w:tc>
          <w:tcPr>
            <w:tcW w:w="4368" w:type="dxa"/>
          </w:tcPr>
          <w:p>
            <w:pPr>
              <w:pStyle w:val="TableParagraph"/>
              <w:spacing w:line="214" w:lineRule="exact"/>
              <w:ind w:left="50"/>
              <w:rPr>
                <w:sz w:val="20"/>
              </w:rPr>
            </w:pPr>
            <w:r>
              <w:rPr>
                <w:sz w:val="20"/>
              </w:rPr>
              <w:t>Importe bruto Padrón Fiscal</w:t>
            </w:r>
          </w:p>
        </w:tc>
        <w:tc>
          <w:tcPr>
            <w:tcW w:w="1408" w:type="dxa"/>
          </w:tcPr>
          <w:p>
            <w:pPr>
              <w:pStyle w:val="TableParagraph"/>
              <w:spacing w:line="214" w:lineRule="exact"/>
              <w:ind w:right="52"/>
              <w:jc w:val="right"/>
              <w:rPr>
                <w:i/>
                <w:sz w:val="20"/>
              </w:rPr>
            </w:pPr>
            <w:r>
              <w:rPr>
                <w:i/>
                <w:sz w:val="20"/>
              </w:rPr>
              <w:t>11.520,00</w:t>
            </w:r>
          </w:p>
        </w:tc>
      </w:tr>
      <w:tr>
        <w:trPr>
          <w:trHeight w:val="244" w:hRule="atLeast"/>
        </w:trPr>
        <w:tc>
          <w:tcPr>
            <w:tcW w:w="4368" w:type="dxa"/>
          </w:tcPr>
          <w:p>
            <w:pPr>
              <w:pStyle w:val="TableParagraph"/>
              <w:spacing w:line="221" w:lineRule="exact" w:before="4"/>
              <w:ind w:left="50"/>
              <w:rPr>
                <w:sz w:val="20"/>
              </w:rPr>
            </w:pPr>
            <w:r>
              <w:rPr>
                <w:sz w:val="20"/>
              </w:rPr>
              <w:t>Anulaciones</w:t>
            </w:r>
          </w:p>
        </w:tc>
        <w:tc>
          <w:tcPr>
            <w:tcW w:w="1408" w:type="dxa"/>
          </w:tcPr>
          <w:p>
            <w:pPr>
              <w:pStyle w:val="TableParagraph"/>
              <w:spacing w:line="221" w:lineRule="exact" w:before="4"/>
              <w:ind w:right="46"/>
              <w:jc w:val="right"/>
              <w:rPr>
                <w:i/>
                <w:sz w:val="20"/>
              </w:rPr>
            </w:pPr>
            <w:r>
              <w:rPr>
                <w:i/>
                <w:w w:val="95"/>
                <w:sz w:val="20"/>
              </w:rPr>
              <w:t>180,00</w:t>
            </w:r>
          </w:p>
        </w:tc>
      </w:tr>
      <w:tr>
        <w:trPr>
          <w:trHeight w:val="248" w:hRule="atLeast"/>
        </w:trPr>
        <w:tc>
          <w:tcPr>
            <w:tcW w:w="4368" w:type="dxa"/>
          </w:tcPr>
          <w:p>
            <w:pPr>
              <w:pStyle w:val="TableParagraph"/>
              <w:spacing w:line="225" w:lineRule="exact" w:before="4"/>
              <w:ind w:left="50"/>
              <w:rPr>
                <w:sz w:val="20"/>
              </w:rPr>
            </w:pPr>
            <w:r>
              <w:rPr>
                <w:sz w:val="20"/>
              </w:rPr>
              <w:t>Importe neto Padrón Fiscal</w:t>
            </w:r>
          </w:p>
        </w:tc>
        <w:tc>
          <w:tcPr>
            <w:tcW w:w="1408" w:type="dxa"/>
          </w:tcPr>
          <w:p>
            <w:pPr>
              <w:pStyle w:val="TableParagraph"/>
              <w:spacing w:line="225" w:lineRule="exact" w:before="4"/>
              <w:ind w:right="47"/>
              <w:jc w:val="right"/>
              <w:rPr>
                <w:i/>
                <w:sz w:val="20"/>
              </w:rPr>
            </w:pPr>
            <w:r>
              <w:rPr>
                <w:i/>
                <w:sz w:val="20"/>
              </w:rPr>
              <w:t>11.340,00</w:t>
            </w:r>
          </w:p>
        </w:tc>
      </w:tr>
      <w:tr>
        <w:trPr>
          <w:trHeight w:val="250" w:hRule="atLeast"/>
        </w:trPr>
        <w:tc>
          <w:tcPr>
            <w:tcW w:w="4368" w:type="dxa"/>
          </w:tcPr>
          <w:p>
            <w:pPr>
              <w:pStyle w:val="TableParagraph"/>
              <w:spacing w:line="223" w:lineRule="exact" w:before="7"/>
              <w:ind w:left="50"/>
              <w:rPr>
                <w:sz w:val="20"/>
              </w:rPr>
            </w:pPr>
            <w:r>
              <w:rPr>
                <w:sz w:val="20"/>
              </w:rPr>
              <w:t>Importe Recaudado</w:t>
            </w:r>
          </w:p>
        </w:tc>
        <w:tc>
          <w:tcPr>
            <w:tcW w:w="1408" w:type="dxa"/>
          </w:tcPr>
          <w:p>
            <w:pPr>
              <w:pStyle w:val="TableParagraph"/>
              <w:spacing w:line="223" w:lineRule="exact" w:before="7"/>
              <w:ind w:right="46"/>
              <w:jc w:val="right"/>
              <w:rPr>
                <w:i/>
                <w:sz w:val="20"/>
              </w:rPr>
            </w:pPr>
            <w:r>
              <w:rPr>
                <w:i/>
                <w:w w:val="95"/>
                <w:sz w:val="20"/>
              </w:rPr>
              <w:t>8.145,00</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7"/>
              <w:jc w:val="right"/>
              <w:rPr>
                <w:i/>
                <w:sz w:val="20"/>
              </w:rPr>
            </w:pPr>
            <w:r>
              <w:rPr>
                <w:i/>
                <w:sz w:val="20"/>
              </w:rPr>
              <w:t>70,70%</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7"/>
              <w:jc w:val="right"/>
              <w:rPr>
                <w:i/>
                <w:sz w:val="20"/>
              </w:rPr>
            </w:pPr>
            <w:r>
              <w:rPr>
                <w:i/>
                <w:sz w:val="20"/>
              </w:rPr>
              <w:t>71,83%</w:t>
            </w:r>
          </w:p>
        </w:tc>
      </w:tr>
    </w:tbl>
    <w:p>
      <w:pPr>
        <w:pStyle w:val="BodyText"/>
        <w:spacing w:before="7"/>
        <w:rPr>
          <w:rFonts w:ascii="Arial"/>
          <w:b/>
          <w:sz w:val="13"/>
        </w:rPr>
      </w:pPr>
    </w:p>
    <w:p>
      <w:pPr>
        <w:spacing w:before="93"/>
        <w:ind w:left="402" w:right="0" w:firstLine="0"/>
        <w:jc w:val="left"/>
        <w:rPr>
          <w:rFonts w:ascii="Arial"/>
          <w:b/>
          <w:sz w:val="20"/>
        </w:rPr>
      </w:pPr>
      <w:r>
        <w:rPr>
          <w:rFonts w:ascii="Arial"/>
          <w:b/>
          <w:sz w:val="20"/>
        </w:rPr>
        <w:t>Tasa de Basura Industrial</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1548"/>
      </w:tblGrid>
      <w:tr>
        <w:trPr>
          <w:trHeight w:val="262" w:hRule="atLeast"/>
        </w:trPr>
        <w:tc>
          <w:tcPr>
            <w:tcW w:w="4229" w:type="dxa"/>
          </w:tcPr>
          <w:p>
            <w:pPr>
              <w:pStyle w:val="TableParagraph"/>
              <w:spacing w:line="223" w:lineRule="exact"/>
              <w:ind w:left="54"/>
              <w:rPr>
                <w:i/>
                <w:sz w:val="20"/>
              </w:rPr>
            </w:pPr>
            <w:r>
              <w:rPr>
                <w:i/>
                <w:sz w:val="20"/>
              </w:rPr>
              <w:t>RB</w:t>
            </w:r>
          </w:p>
        </w:tc>
        <w:tc>
          <w:tcPr>
            <w:tcW w:w="1548" w:type="dxa"/>
          </w:tcPr>
          <w:p>
            <w:pPr>
              <w:pStyle w:val="TableParagraph"/>
              <w:spacing w:line="240" w:lineRule="auto"/>
              <w:rPr>
                <w:rFonts w:ascii="Times New Roman"/>
                <w:sz w:val="18"/>
              </w:rPr>
            </w:pPr>
          </w:p>
        </w:tc>
      </w:tr>
      <w:tr>
        <w:trPr>
          <w:trHeight w:val="273" w:hRule="atLeast"/>
        </w:trPr>
        <w:tc>
          <w:tcPr>
            <w:tcW w:w="4229" w:type="dxa"/>
          </w:tcPr>
          <w:p>
            <w:pPr>
              <w:pStyle w:val="TableParagraph"/>
              <w:spacing w:line="221" w:lineRule="exact" w:before="33"/>
              <w:ind w:left="50"/>
              <w:rPr>
                <w:sz w:val="20"/>
              </w:rPr>
            </w:pPr>
            <w:r>
              <w:rPr>
                <w:sz w:val="20"/>
              </w:rPr>
              <w:t>Importe bruto Padrón Fiscal</w:t>
            </w:r>
          </w:p>
        </w:tc>
        <w:tc>
          <w:tcPr>
            <w:tcW w:w="1548" w:type="dxa"/>
          </w:tcPr>
          <w:p>
            <w:pPr>
              <w:pStyle w:val="TableParagraph"/>
              <w:spacing w:line="221" w:lineRule="exact" w:before="33"/>
              <w:ind w:right="53"/>
              <w:jc w:val="right"/>
              <w:rPr>
                <w:i/>
                <w:sz w:val="20"/>
              </w:rPr>
            </w:pPr>
            <w:r>
              <w:rPr>
                <w:i/>
                <w:sz w:val="20"/>
              </w:rPr>
              <w:t>2.281.459,00</w:t>
            </w:r>
          </w:p>
        </w:tc>
      </w:tr>
      <w:tr>
        <w:trPr>
          <w:trHeight w:val="245" w:hRule="atLeast"/>
        </w:trPr>
        <w:tc>
          <w:tcPr>
            <w:tcW w:w="4229" w:type="dxa"/>
          </w:tcPr>
          <w:p>
            <w:pPr>
              <w:pStyle w:val="TableParagraph"/>
              <w:spacing w:line="222" w:lineRule="exact" w:before="4"/>
              <w:ind w:left="50"/>
              <w:rPr>
                <w:sz w:val="20"/>
              </w:rPr>
            </w:pPr>
            <w:r>
              <w:rPr>
                <w:sz w:val="20"/>
              </w:rPr>
              <w:t>Anulaciones</w:t>
            </w:r>
          </w:p>
        </w:tc>
        <w:tc>
          <w:tcPr>
            <w:tcW w:w="1548" w:type="dxa"/>
          </w:tcPr>
          <w:p>
            <w:pPr>
              <w:pStyle w:val="TableParagraph"/>
              <w:spacing w:line="222" w:lineRule="exact" w:before="4"/>
              <w:ind w:right="47"/>
              <w:jc w:val="right"/>
              <w:rPr>
                <w:i/>
                <w:sz w:val="20"/>
              </w:rPr>
            </w:pPr>
            <w:r>
              <w:rPr>
                <w:i/>
                <w:w w:val="95"/>
                <w:sz w:val="20"/>
              </w:rPr>
              <w:t>8.600,00</w:t>
            </w:r>
          </w:p>
        </w:tc>
      </w:tr>
      <w:tr>
        <w:trPr>
          <w:trHeight w:val="248" w:hRule="atLeast"/>
        </w:trPr>
        <w:tc>
          <w:tcPr>
            <w:tcW w:w="4229" w:type="dxa"/>
          </w:tcPr>
          <w:p>
            <w:pPr>
              <w:pStyle w:val="TableParagraph"/>
              <w:spacing w:line="223" w:lineRule="exact" w:before="5"/>
              <w:ind w:left="50"/>
              <w:rPr>
                <w:sz w:val="20"/>
              </w:rPr>
            </w:pPr>
            <w:r>
              <w:rPr>
                <w:sz w:val="20"/>
              </w:rPr>
              <w:t>Importe neto Padrón Fiscal</w:t>
            </w:r>
          </w:p>
        </w:tc>
        <w:tc>
          <w:tcPr>
            <w:tcW w:w="1548" w:type="dxa"/>
          </w:tcPr>
          <w:p>
            <w:pPr>
              <w:pStyle w:val="TableParagraph"/>
              <w:spacing w:line="223" w:lineRule="exact" w:before="5"/>
              <w:ind w:right="48"/>
              <w:jc w:val="right"/>
              <w:rPr>
                <w:i/>
                <w:sz w:val="20"/>
              </w:rPr>
            </w:pPr>
            <w:r>
              <w:rPr>
                <w:i/>
                <w:sz w:val="20"/>
              </w:rPr>
              <w:t>2.272.859,00</w:t>
            </w:r>
          </w:p>
        </w:tc>
      </w:tr>
      <w:tr>
        <w:trPr>
          <w:trHeight w:val="250" w:hRule="atLeast"/>
        </w:trPr>
        <w:tc>
          <w:tcPr>
            <w:tcW w:w="4229" w:type="dxa"/>
          </w:tcPr>
          <w:p>
            <w:pPr>
              <w:pStyle w:val="TableParagraph"/>
              <w:spacing w:line="225" w:lineRule="exact" w:before="6"/>
              <w:ind w:left="50"/>
              <w:rPr>
                <w:sz w:val="20"/>
              </w:rPr>
            </w:pPr>
            <w:r>
              <w:rPr>
                <w:sz w:val="20"/>
              </w:rPr>
              <w:t>Importe Recaudado</w:t>
            </w:r>
          </w:p>
        </w:tc>
        <w:tc>
          <w:tcPr>
            <w:tcW w:w="1548" w:type="dxa"/>
          </w:tcPr>
          <w:p>
            <w:pPr>
              <w:pStyle w:val="TableParagraph"/>
              <w:spacing w:line="225" w:lineRule="exact" w:before="6"/>
              <w:ind w:right="48"/>
              <w:jc w:val="right"/>
              <w:rPr>
                <w:i/>
                <w:sz w:val="20"/>
              </w:rPr>
            </w:pPr>
            <w:r>
              <w:rPr>
                <w:i/>
                <w:sz w:val="20"/>
              </w:rPr>
              <w:t>1.887.549,36</w:t>
            </w:r>
          </w:p>
        </w:tc>
      </w:tr>
      <w:tr>
        <w:trPr>
          <w:trHeight w:val="248" w:hRule="atLeast"/>
        </w:trPr>
        <w:tc>
          <w:tcPr>
            <w:tcW w:w="4229" w:type="dxa"/>
          </w:tcPr>
          <w:p>
            <w:pPr>
              <w:pStyle w:val="TableParagraph"/>
              <w:spacing w:line="221" w:lineRule="exact" w:before="7"/>
              <w:ind w:left="50"/>
              <w:rPr>
                <w:sz w:val="20"/>
              </w:rPr>
            </w:pPr>
            <w:r>
              <w:rPr>
                <w:sz w:val="20"/>
              </w:rPr>
              <w:t>% recaudado s/Importe bruto Padrón Fiscal</w:t>
            </w:r>
          </w:p>
        </w:tc>
        <w:tc>
          <w:tcPr>
            <w:tcW w:w="1548" w:type="dxa"/>
          </w:tcPr>
          <w:p>
            <w:pPr>
              <w:pStyle w:val="TableParagraph"/>
              <w:spacing w:line="221" w:lineRule="exact" w:before="7"/>
              <w:ind w:right="48"/>
              <w:jc w:val="right"/>
              <w:rPr>
                <w:i/>
                <w:sz w:val="20"/>
              </w:rPr>
            </w:pPr>
            <w:r>
              <w:rPr>
                <w:i/>
                <w:sz w:val="20"/>
              </w:rPr>
              <w:t>82,73%</w:t>
            </w:r>
          </w:p>
        </w:tc>
      </w:tr>
      <w:tr>
        <w:trPr>
          <w:trHeight w:val="306" w:hRule="atLeast"/>
        </w:trPr>
        <w:tc>
          <w:tcPr>
            <w:tcW w:w="4229" w:type="dxa"/>
          </w:tcPr>
          <w:p>
            <w:pPr>
              <w:pStyle w:val="TableParagraph"/>
              <w:spacing w:line="240" w:lineRule="auto" w:before="4"/>
              <w:ind w:left="50"/>
              <w:rPr>
                <w:sz w:val="20"/>
              </w:rPr>
            </w:pPr>
            <w:r>
              <w:rPr>
                <w:sz w:val="20"/>
              </w:rPr>
              <w:t>% recaudado s/Importe neto Padrón Fiscal</w:t>
            </w:r>
          </w:p>
        </w:tc>
        <w:tc>
          <w:tcPr>
            <w:tcW w:w="1548" w:type="dxa"/>
          </w:tcPr>
          <w:p>
            <w:pPr>
              <w:pStyle w:val="TableParagraph"/>
              <w:spacing w:line="240" w:lineRule="auto" w:before="4"/>
              <w:ind w:right="48"/>
              <w:jc w:val="right"/>
              <w:rPr>
                <w:i/>
                <w:sz w:val="20"/>
              </w:rPr>
            </w:pPr>
            <w:r>
              <w:rPr>
                <w:i/>
                <w:sz w:val="20"/>
              </w:rPr>
              <w:t>83,05%</w:t>
            </w:r>
          </w:p>
        </w:tc>
      </w:tr>
      <w:tr>
        <w:trPr>
          <w:trHeight w:val="334" w:hRule="atLeast"/>
        </w:trPr>
        <w:tc>
          <w:tcPr>
            <w:tcW w:w="4229" w:type="dxa"/>
          </w:tcPr>
          <w:p>
            <w:pPr>
              <w:pStyle w:val="TableParagraph"/>
              <w:spacing w:line="240" w:lineRule="auto" w:before="65"/>
              <w:ind w:left="54"/>
              <w:rPr>
                <w:i/>
                <w:sz w:val="20"/>
              </w:rPr>
            </w:pPr>
            <w:r>
              <w:rPr>
                <w:i/>
                <w:sz w:val="20"/>
              </w:rPr>
              <w:t>ID</w:t>
            </w:r>
          </w:p>
        </w:tc>
        <w:tc>
          <w:tcPr>
            <w:tcW w:w="1548" w:type="dxa"/>
          </w:tcPr>
          <w:p>
            <w:pPr>
              <w:pStyle w:val="TableParagraph"/>
              <w:spacing w:line="240" w:lineRule="auto"/>
              <w:rPr>
                <w:rFonts w:ascii="Times New Roman"/>
                <w:sz w:val="18"/>
              </w:rPr>
            </w:pPr>
          </w:p>
        </w:tc>
      </w:tr>
      <w:tr>
        <w:trPr>
          <w:trHeight w:val="273" w:hRule="atLeast"/>
        </w:trPr>
        <w:tc>
          <w:tcPr>
            <w:tcW w:w="4229" w:type="dxa"/>
          </w:tcPr>
          <w:p>
            <w:pPr>
              <w:pStyle w:val="TableParagraph"/>
              <w:spacing w:line="221" w:lineRule="exact" w:before="32"/>
              <w:ind w:left="50"/>
              <w:rPr>
                <w:sz w:val="20"/>
              </w:rPr>
            </w:pPr>
            <w:r>
              <w:rPr>
                <w:sz w:val="20"/>
              </w:rPr>
              <w:t>Importe bruto Padrón Fiscal</w:t>
            </w:r>
          </w:p>
        </w:tc>
        <w:tc>
          <w:tcPr>
            <w:tcW w:w="1548" w:type="dxa"/>
          </w:tcPr>
          <w:p>
            <w:pPr>
              <w:pStyle w:val="TableParagraph"/>
              <w:spacing w:line="221" w:lineRule="exact" w:before="32"/>
              <w:ind w:right="53"/>
              <w:jc w:val="right"/>
              <w:rPr>
                <w:i/>
                <w:sz w:val="20"/>
              </w:rPr>
            </w:pPr>
            <w:r>
              <w:rPr>
                <w:i/>
                <w:sz w:val="20"/>
              </w:rPr>
              <w:t>83.678,46</w:t>
            </w:r>
          </w:p>
        </w:tc>
      </w:tr>
      <w:tr>
        <w:trPr>
          <w:trHeight w:val="244" w:hRule="atLeast"/>
        </w:trPr>
        <w:tc>
          <w:tcPr>
            <w:tcW w:w="4229" w:type="dxa"/>
          </w:tcPr>
          <w:p>
            <w:pPr>
              <w:pStyle w:val="TableParagraph"/>
              <w:spacing w:line="221" w:lineRule="exact" w:before="4"/>
              <w:ind w:left="50"/>
              <w:rPr>
                <w:sz w:val="20"/>
              </w:rPr>
            </w:pPr>
            <w:r>
              <w:rPr>
                <w:sz w:val="20"/>
              </w:rPr>
              <w:t>Anulaciones</w:t>
            </w:r>
          </w:p>
        </w:tc>
        <w:tc>
          <w:tcPr>
            <w:tcW w:w="1548" w:type="dxa"/>
          </w:tcPr>
          <w:p>
            <w:pPr>
              <w:pStyle w:val="TableParagraph"/>
              <w:spacing w:line="221" w:lineRule="exact" w:before="4"/>
              <w:ind w:right="47"/>
              <w:jc w:val="right"/>
              <w:rPr>
                <w:i/>
                <w:sz w:val="20"/>
              </w:rPr>
            </w:pPr>
            <w:r>
              <w:rPr>
                <w:i/>
                <w:w w:val="95"/>
                <w:sz w:val="20"/>
              </w:rPr>
              <w:t>5.666,21</w:t>
            </w:r>
          </w:p>
        </w:tc>
      </w:tr>
      <w:tr>
        <w:trPr>
          <w:trHeight w:val="248" w:hRule="atLeast"/>
        </w:trPr>
        <w:tc>
          <w:tcPr>
            <w:tcW w:w="4229" w:type="dxa"/>
          </w:tcPr>
          <w:p>
            <w:pPr>
              <w:pStyle w:val="TableParagraph"/>
              <w:spacing w:line="225" w:lineRule="exact" w:before="4"/>
              <w:ind w:left="50"/>
              <w:rPr>
                <w:sz w:val="20"/>
              </w:rPr>
            </w:pPr>
            <w:r>
              <w:rPr>
                <w:sz w:val="20"/>
              </w:rPr>
              <w:t>Importe neto Padrón Fiscal</w:t>
            </w:r>
          </w:p>
        </w:tc>
        <w:tc>
          <w:tcPr>
            <w:tcW w:w="1548" w:type="dxa"/>
          </w:tcPr>
          <w:p>
            <w:pPr>
              <w:pStyle w:val="TableParagraph"/>
              <w:spacing w:line="225" w:lineRule="exact" w:before="4"/>
              <w:ind w:right="48"/>
              <w:jc w:val="right"/>
              <w:rPr>
                <w:i/>
                <w:sz w:val="20"/>
              </w:rPr>
            </w:pPr>
            <w:r>
              <w:rPr>
                <w:i/>
                <w:sz w:val="20"/>
              </w:rPr>
              <w:t>78.012,25</w:t>
            </w:r>
          </w:p>
        </w:tc>
      </w:tr>
      <w:tr>
        <w:trPr>
          <w:trHeight w:val="250" w:hRule="atLeast"/>
        </w:trPr>
        <w:tc>
          <w:tcPr>
            <w:tcW w:w="4229" w:type="dxa"/>
          </w:tcPr>
          <w:p>
            <w:pPr>
              <w:pStyle w:val="TableParagraph"/>
              <w:spacing w:line="223" w:lineRule="exact" w:before="7"/>
              <w:ind w:left="50"/>
              <w:rPr>
                <w:sz w:val="20"/>
              </w:rPr>
            </w:pPr>
            <w:r>
              <w:rPr>
                <w:sz w:val="20"/>
              </w:rPr>
              <w:t>Importe Recaudado</w:t>
            </w:r>
          </w:p>
        </w:tc>
        <w:tc>
          <w:tcPr>
            <w:tcW w:w="1548" w:type="dxa"/>
          </w:tcPr>
          <w:p>
            <w:pPr>
              <w:pStyle w:val="TableParagraph"/>
              <w:spacing w:line="223" w:lineRule="exact" w:before="7"/>
              <w:ind w:right="48"/>
              <w:jc w:val="right"/>
              <w:rPr>
                <w:i/>
                <w:sz w:val="20"/>
              </w:rPr>
            </w:pPr>
            <w:r>
              <w:rPr>
                <w:i/>
                <w:sz w:val="20"/>
              </w:rPr>
              <w:t>50.644,80</w:t>
            </w:r>
          </w:p>
        </w:tc>
      </w:tr>
      <w:tr>
        <w:trPr>
          <w:trHeight w:val="247" w:hRule="atLeast"/>
        </w:trPr>
        <w:tc>
          <w:tcPr>
            <w:tcW w:w="4229" w:type="dxa"/>
          </w:tcPr>
          <w:p>
            <w:pPr>
              <w:pStyle w:val="TableParagraph"/>
              <w:spacing w:line="221" w:lineRule="exact" w:before="6"/>
              <w:ind w:left="50"/>
              <w:rPr>
                <w:sz w:val="20"/>
              </w:rPr>
            </w:pPr>
            <w:r>
              <w:rPr>
                <w:sz w:val="20"/>
              </w:rPr>
              <w:t>% recaudado s/Importe bruto Padrón Fiscal</w:t>
            </w:r>
          </w:p>
        </w:tc>
        <w:tc>
          <w:tcPr>
            <w:tcW w:w="1548" w:type="dxa"/>
          </w:tcPr>
          <w:p>
            <w:pPr>
              <w:pStyle w:val="TableParagraph"/>
              <w:spacing w:line="221" w:lineRule="exact" w:before="6"/>
              <w:ind w:right="48"/>
              <w:jc w:val="right"/>
              <w:rPr>
                <w:i/>
                <w:sz w:val="20"/>
              </w:rPr>
            </w:pPr>
            <w:r>
              <w:rPr>
                <w:i/>
                <w:sz w:val="20"/>
              </w:rPr>
              <w:t>60,52%</w:t>
            </w:r>
          </w:p>
        </w:tc>
      </w:tr>
      <w:tr>
        <w:trPr>
          <w:trHeight w:val="233" w:hRule="atLeast"/>
        </w:trPr>
        <w:tc>
          <w:tcPr>
            <w:tcW w:w="4229" w:type="dxa"/>
          </w:tcPr>
          <w:p>
            <w:pPr>
              <w:pStyle w:val="TableParagraph"/>
              <w:spacing w:before="4"/>
              <w:ind w:left="50"/>
              <w:rPr>
                <w:sz w:val="20"/>
              </w:rPr>
            </w:pPr>
            <w:r>
              <w:rPr>
                <w:sz w:val="20"/>
              </w:rPr>
              <w:t>% recaudado s/Importe neto Padrón Fiscal</w:t>
            </w:r>
          </w:p>
        </w:tc>
        <w:tc>
          <w:tcPr>
            <w:tcW w:w="1548" w:type="dxa"/>
          </w:tcPr>
          <w:p>
            <w:pPr>
              <w:pStyle w:val="TableParagraph"/>
              <w:spacing w:before="4"/>
              <w:ind w:right="48"/>
              <w:jc w:val="right"/>
              <w:rPr>
                <w:i/>
                <w:sz w:val="20"/>
              </w:rPr>
            </w:pPr>
            <w:r>
              <w:rPr>
                <w:i/>
                <w:sz w:val="20"/>
              </w:rPr>
              <w:t>64,92%</w:t>
            </w:r>
          </w:p>
        </w:tc>
      </w:tr>
    </w:tbl>
    <w:p>
      <w:pPr>
        <w:pStyle w:val="BodyText"/>
        <w:rPr>
          <w:rFonts w:ascii="Arial"/>
          <w:b/>
          <w:sz w:val="22"/>
        </w:rPr>
      </w:pPr>
    </w:p>
    <w:p>
      <w:pPr>
        <w:pStyle w:val="BodyText"/>
        <w:rPr>
          <w:rFonts w:ascii="Arial"/>
          <w:b/>
          <w:sz w:val="22"/>
        </w:rPr>
      </w:pPr>
    </w:p>
    <w:p>
      <w:pPr>
        <w:pStyle w:val="BodyText"/>
        <w:spacing w:before="9"/>
        <w:rPr>
          <w:rFonts w:ascii="Arial"/>
          <w:b/>
          <w:sz w:val="25"/>
        </w:rPr>
      </w:pPr>
    </w:p>
    <w:p>
      <w:pPr>
        <w:spacing w:before="0"/>
        <w:ind w:left="402" w:right="0" w:firstLine="0"/>
        <w:jc w:val="left"/>
        <w:rPr>
          <w:rFonts w:ascii="Arial" w:hAnsi="Arial"/>
          <w:b/>
          <w:sz w:val="20"/>
        </w:rPr>
      </w:pPr>
      <w:r>
        <w:rPr>
          <w:rFonts w:ascii="Arial" w:hAnsi="Arial"/>
          <w:b/>
          <w:sz w:val="20"/>
        </w:rPr>
        <w:t>Tasa de Cajeros Automáticos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62" w:hRule="atLeast"/>
        </w:trPr>
        <w:tc>
          <w:tcPr>
            <w:tcW w:w="4368" w:type="dxa"/>
          </w:tcPr>
          <w:p>
            <w:pPr>
              <w:pStyle w:val="TableParagraph"/>
              <w:spacing w:line="223" w:lineRule="exact"/>
              <w:ind w:left="54"/>
              <w:rPr>
                <w:i/>
                <w:sz w:val="20"/>
              </w:rPr>
            </w:pPr>
            <w:r>
              <w:rPr>
                <w:i/>
                <w:sz w:val="20"/>
              </w:rPr>
              <w:t>RB</w:t>
            </w:r>
          </w:p>
        </w:tc>
        <w:tc>
          <w:tcPr>
            <w:tcW w:w="1408" w:type="dxa"/>
          </w:tcPr>
          <w:p>
            <w:pPr>
              <w:pStyle w:val="TableParagraph"/>
              <w:spacing w:line="240" w:lineRule="auto"/>
              <w:rPr>
                <w:rFonts w:ascii="Times New Roman"/>
                <w:sz w:val="18"/>
              </w:rPr>
            </w:pPr>
          </w:p>
        </w:tc>
      </w:tr>
      <w:tr>
        <w:trPr>
          <w:trHeight w:val="273" w:hRule="atLeast"/>
        </w:trPr>
        <w:tc>
          <w:tcPr>
            <w:tcW w:w="4368" w:type="dxa"/>
          </w:tcPr>
          <w:p>
            <w:pPr>
              <w:pStyle w:val="TableParagraph"/>
              <w:spacing w:line="221" w:lineRule="exact" w:before="32"/>
              <w:ind w:left="50"/>
              <w:rPr>
                <w:sz w:val="20"/>
              </w:rPr>
            </w:pPr>
            <w:r>
              <w:rPr>
                <w:sz w:val="20"/>
              </w:rPr>
              <w:t>Importe bruto Padrón Fiscal</w:t>
            </w:r>
          </w:p>
        </w:tc>
        <w:tc>
          <w:tcPr>
            <w:tcW w:w="1408" w:type="dxa"/>
          </w:tcPr>
          <w:p>
            <w:pPr>
              <w:pStyle w:val="TableParagraph"/>
              <w:spacing w:line="221" w:lineRule="exact" w:before="32"/>
              <w:ind w:right="52"/>
              <w:jc w:val="right"/>
              <w:rPr>
                <w:i/>
                <w:sz w:val="20"/>
              </w:rPr>
            </w:pPr>
            <w:r>
              <w:rPr>
                <w:i/>
                <w:sz w:val="20"/>
              </w:rPr>
              <w:t>10.936,00</w:t>
            </w:r>
          </w:p>
        </w:tc>
      </w:tr>
      <w:tr>
        <w:trPr>
          <w:trHeight w:val="244" w:hRule="atLeast"/>
        </w:trPr>
        <w:tc>
          <w:tcPr>
            <w:tcW w:w="4368" w:type="dxa"/>
          </w:tcPr>
          <w:p>
            <w:pPr>
              <w:pStyle w:val="TableParagraph"/>
              <w:spacing w:line="221" w:lineRule="exact" w:before="4"/>
              <w:ind w:left="50"/>
              <w:rPr>
                <w:sz w:val="20"/>
              </w:rPr>
            </w:pPr>
            <w:r>
              <w:rPr>
                <w:sz w:val="20"/>
              </w:rPr>
              <w:t>Anulaciones</w:t>
            </w:r>
          </w:p>
        </w:tc>
        <w:tc>
          <w:tcPr>
            <w:tcW w:w="1408" w:type="dxa"/>
          </w:tcPr>
          <w:p>
            <w:pPr>
              <w:pStyle w:val="TableParagraph"/>
              <w:spacing w:line="221" w:lineRule="exact" w:before="4"/>
              <w:ind w:right="47"/>
              <w:jc w:val="right"/>
              <w:rPr>
                <w:i/>
                <w:sz w:val="20"/>
              </w:rPr>
            </w:pPr>
            <w:r>
              <w:rPr>
                <w:i/>
                <w:w w:val="95"/>
                <w:sz w:val="20"/>
              </w:rPr>
              <w:t>0,00</w:t>
            </w:r>
          </w:p>
        </w:tc>
      </w:tr>
      <w:tr>
        <w:trPr>
          <w:trHeight w:val="248" w:hRule="atLeast"/>
        </w:trPr>
        <w:tc>
          <w:tcPr>
            <w:tcW w:w="4368" w:type="dxa"/>
          </w:tcPr>
          <w:p>
            <w:pPr>
              <w:pStyle w:val="TableParagraph"/>
              <w:spacing w:line="225" w:lineRule="exact" w:before="4"/>
              <w:ind w:left="50"/>
              <w:rPr>
                <w:sz w:val="20"/>
              </w:rPr>
            </w:pPr>
            <w:r>
              <w:rPr>
                <w:sz w:val="20"/>
              </w:rPr>
              <w:t>Importe neto Padrón Fiscal</w:t>
            </w:r>
          </w:p>
        </w:tc>
        <w:tc>
          <w:tcPr>
            <w:tcW w:w="1408" w:type="dxa"/>
          </w:tcPr>
          <w:p>
            <w:pPr>
              <w:pStyle w:val="TableParagraph"/>
              <w:spacing w:line="225" w:lineRule="exact" w:before="4"/>
              <w:ind w:right="47"/>
              <w:jc w:val="right"/>
              <w:rPr>
                <w:i/>
                <w:sz w:val="20"/>
              </w:rPr>
            </w:pPr>
            <w:r>
              <w:rPr>
                <w:i/>
                <w:sz w:val="20"/>
              </w:rPr>
              <w:t>10.936,00</w:t>
            </w:r>
          </w:p>
        </w:tc>
      </w:tr>
      <w:tr>
        <w:trPr>
          <w:trHeight w:val="250" w:hRule="atLeast"/>
        </w:trPr>
        <w:tc>
          <w:tcPr>
            <w:tcW w:w="4368" w:type="dxa"/>
          </w:tcPr>
          <w:p>
            <w:pPr>
              <w:pStyle w:val="TableParagraph"/>
              <w:spacing w:line="223" w:lineRule="exact" w:before="7"/>
              <w:ind w:left="50"/>
              <w:rPr>
                <w:sz w:val="20"/>
              </w:rPr>
            </w:pPr>
            <w:r>
              <w:rPr>
                <w:sz w:val="20"/>
              </w:rPr>
              <w:t>Importe Recaudado</w:t>
            </w:r>
          </w:p>
        </w:tc>
        <w:tc>
          <w:tcPr>
            <w:tcW w:w="1408" w:type="dxa"/>
          </w:tcPr>
          <w:p>
            <w:pPr>
              <w:pStyle w:val="TableParagraph"/>
              <w:spacing w:line="223" w:lineRule="exact" w:before="7"/>
              <w:ind w:right="46"/>
              <w:jc w:val="right"/>
              <w:rPr>
                <w:i/>
                <w:sz w:val="20"/>
              </w:rPr>
            </w:pPr>
            <w:r>
              <w:rPr>
                <w:i/>
                <w:w w:val="95"/>
                <w:sz w:val="20"/>
              </w:rPr>
              <w:t>3.280,00</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7"/>
              <w:jc w:val="right"/>
              <w:rPr>
                <w:i/>
                <w:sz w:val="20"/>
              </w:rPr>
            </w:pPr>
            <w:r>
              <w:rPr>
                <w:i/>
                <w:sz w:val="20"/>
              </w:rPr>
              <w:t>29,99%</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7"/>
              <w:jc w:val="right"/>
              <w:rPr>
                <w:i/>
                <w:sz w:val="20"/>
              </w:rPr>
            </w:pPr>
            <w:r>
              <w:rPr>
                <w:i/>
                <w:sz w:val="20"/>
              </w:rPr>
              <w:t>29,99%</w:t>
            </w:r>
          </w:p>
        </w:tc>
      </w:tr>
    </w:tbl>
    <w:p>
      <w:pPr>
        <w:pStyle w:val="BodyText"/>
        <w:rPr>
          <w:rFonts w:ascii="Arial"/>
          <w:b/>
          <w:sz w:val="22"/>
        </w:rPr>
      </w:pPr>
    </w:p>
    <w:p>
      <w:pPr>
        <w:pStyle w:val="BodyText"/>
        <w:rPr>
          <w:rFonts w:ascii="Arial"/>
          <w:b/>
          <w:sz w:val="22"/>
        </w:rPr>
      </w:pPr>
    </w:p>
    <w:p>
      <w:pPr>
        <w:pStyle w:val="BodyText"/>
        <w:spacing w:before="6"/>
        <w:rPr>
          <w:rFonts w:ascii="Arial"/>
          <w:b/>
          <w:sz w:val="25"/>
        </w:rPr>
      </w:pPr>
    </w:p>
    <w:p>
      <w:pPr>
        <w:spacing w:before="0"/>
        <w:ind w:left="402" w:right="0" w:firstLine="0"/>
        <w:jc w:val="left"/>
        <w:rPr>
          <w:rFonts w:ascii="Arial" w:hAnsi="Arial"/>
          <w:b/>
          <w:sz w:val="20"/>
        </w:rPr>
      </w:pPr>
      <w:r>
        <w:rPr>
          <w:rFonts w:ascii="Arial" w:hAnsi="Arial"/>
          <w:b/>
          <w:sz w:val="20"/>
        </w:rPr>
        <w:t>Tasa de Expedición de Documentos</w:t>
      </w:r>
    </w:p>
    <w:p>
      <w:pPr>
        <w:pStyle w:val="BodyText"/>
        <w:spacing w:before="8" w:after="1"/>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3"/>
        <w:gridCol w:w="1464"/>
      </w:tblGrid>
      <w:tr>
        <w:trPr>
          <w:trHeight w:val="262" w:hRule="atLeast"/>
        </w:trPr>
        <w:tc>
          <w:tcPr>
            <w:tcW w:w="4313" w:type="dxa"/>
          </w:tcPr>
          <w:p>
            <w:pPr>
              <w:pStyle w:val="TableParagraph"/>
              <w:spacing w:line="223" w:lineRule="exact"/>
              <w:ind w:left="54"/>
              <w:rPr>
                <w:i/>
                <w:sz w:val="20"/>
              </w:rPr>
            </w:pPr>
            <w:r>
              <w:rPr>
                <w:i/>
                <w:sz w:val="20"/>
              </w:rPr>
              <w:t>AU</w:t>
            </w:r>
          </w:p>
        </w:tc>
        <w:tc>
          <w:tcPr>
            <w:tcW w:w="1464" w:type="dxa"/>
          </w:tcPr>
          <w:p>
            <w:pPr>
              <w:pStyle w:val="TableParagraph"/>
              <w:spacing w:line="240" w:lineRule="auto"/>
              <w:rPr>
                <w:rFonts w:ascii="Times New Roman"/>
                <w:sz w:val="18"/>
              </w:rPr>
            </w:pPr>
          </w:p>
        </w:tc>
      </w:tr>
      <w:tr>
        <w:trPr>
          <w:trHeight w:val="273" w:hRule="atLeast"/>
        </w:trPr>
        <w:tc>
          <w:tcPr>
            <w:tcW w:w="4313" w:type="dxa"/>
          </w:tcPr>
          <w:p>
            <w:pPr>
              <w:pStyle w:val="TableParagraph"/>
              <w:spacing w:line="221" w:lineRule="exact" w:before="32"/>
              <w:ind w:left="50"/>
              <w:rPr>
                <w:sz w:val="20"/>
              </w:rPr>
            </w:pPr>
            <w:r>
              <w:rPr>
                <w:sz w:val="20"/>
              </w:rPr>
              <w:t>Importe bruto Padrón Fiscal</w:t>
            </w:r>
          </w:p>
        </w:tc>
        <w:tc>
          <w:tcPr>
            <w:tcW w:w="1464" w:type="dxa"/>
          </w:tcPr>
          <w:p>
            <w:pPr>
              <w:pStyle w:val="TableParagraph"/>
              <w:spacing w:line="221" w:lineRule="exact" w:before="32"/>
              <w:ind w:right="53"/>
              <w:jc w:val="right"/>
              <w:rPr>
                <w:i/>
                <w:sz w:val="20"/>
              </w:rPr>
            </w:pPr>
            <w:r>
              <w:rPr>
                <w:i/>
                <w:sz w:val="20"/>
              </w:rPr>
              <w:t>386.782,79</w:t>
            </w:r>
          </w:p>
        </w:tc>
      </w:tr>
      <w:tr>
        <w:trPr>
          <w:trHeight w:val="246" w:hRule="atLeast"/>
        </w:trPr>
        <w:tc>
          <w:tcPr>
            <w:tcW w:w="4313" w:type="dxa"/>
          </w:tcPr>
          <w:p>
            <w:pPr>
              <w:pStyle w:val="TableParagraph"/>
              <w:spacing w:line="222" w:lineRule="exact" w:before="4"/>
              <w:ind w:left="50"/>
              <w:rPr>
                <w:sz w:val="20"/>
              </w:rPr>
            </w:pPr>
            <w:r>
              <w:rPr>
                <w:sz w:val="20"/>
              </w:rPr>
              <w:t>Anulaciones</w:t>
            </w:r>
          </w:p>
        </w:tc>
        <w:tc>
          <w:tcPr>
            <w:tcW w:w="1464" w:type="dxa"/>
          </w:tcPr>
          <w:p>
            <w:pPr>
              <w:pStyle w:val="TableParagraph"/>
              <w:spacing w:line="222" w:lineRule="exact" w:before="4"/>
              <w:ind w:right="48"/>
              <w:jc w:val="right"/>
              <w:rPr>
                <w:i/>
                <w:sz w:val="20"/>
              </w:rPr>
            </w:pPr>
            <w:r>
              <w:rPr>
                <w:i/>
                <w:w w:val="95"/>
                <w:sz w:val="20"/>
              </w:rPr>
              <w:t>0,00</w:t>
            </w:r>
          </w:p>
        </w:tc>
      </w:tr>
      <w:tr>
        <w:trPr>
          <w:trHeight w:val="248" w:hRule="atLeast"/>
        </w:trPr>
        <w:tc>
          <w:tcPr>
            <w:tcW w:w="4313" w:type="dxa"/>
          </w:tcPr>
          <w:p>
            <w:pPr>
              <w:pStyle w:val="TableParagraph"/>
              <w:spacing w:line="223" w:lineRule="exact" w:before="5"/>
              <w:ind w:left="50"/>
              <w:rPr>
                <w:sz w:val="20"/>
              </w:rPr>
            </w:pPr>
            <w:r>
              <w:rPr>
                <w:sz w:val="20"/>
              </w:rPr>
              <w:t>Importe neto Padrón Fiscal</w:t>
            </w:r>
          </w:p>
        </w:tc>
        <w:tc>
          <w:tcPr>
            <w:tcW w:w="1464" w:type="dxa"/>
          </w:tcPr>
          <w:p>
            <w:pPr>
              <w:pStyle w:val="TableParagraph"/>
              <w:spacing w:line="223" w:lineRule="exact" w:before="5"/>
              <w:ind w:right="48"/>
              <w:jc w:val="right"/>
              <w:rPr>
                <w:i/>
                <w:sz w:val="20"/>
              </w:rPr>
            </w:pPr>
            <w:r>
              <w:rPr>
                <w:i/>
                <w:sz w:val="20"/>
              </w:rPr>
              <w:t>386.782,79</w:t>
            </w:r>
          </w:p>
        </w:tc>
      </w:tr>
      <w:tr>
        <w:trPr>
          <w:trHeight w:val="250" w:hRule="atLeast"/>
        </w:trPr>
        <w:tc>
          <w:tcPr>
            <w:tcW w:w="4313" w:type="dxa"/>
          </w:tcPr>
          <w:p>
            <w:pPr>
              <w:pStyle w:val="TableParagraph"/>
              <w:spacing w:line="225" w:lineRule="exact" w:before="6"/>
              <w:ind w:left="50"/>
              <w:rPr>
                <w:sz w:val="20"/>
              </w:rPr>
            </w:pPr>
            <w:r>
              <w:rPr>
                <w:sz w:val="20"/>
              </w:rPr>
              <w:t>Importe Recaudado</w:t>
            </w:r>
          </w:p>
        </w:tc>
        <w:tc>
          <w:tcPr>
            <w:tcW w:w="1464" w:type="dxa"/>
          </w:tcPr>
          <w:p>
            <w:pPr>
              <w:pStyle w:val="TableParagraph"/>
              <w:spacing w:line="225" w:lineRule="exact" w:before="6"/>
              <w:ind w:right="48"/>
              <w:jc w:val="right"/>
              <w:rPr>
                <w:i/>
                <w:sz w:val="20"/>
              </w:rPr>
            </w:pPr>
            <w:r>
              <w:rPr>
                <w:i/>
                <w:sz w:val="20"/>
              </w:rPr>
              <w:t>386.782,79</w:t>
            </w:r>
          </w:p>
        </w:tc>
      </w:tr>
      <w:tr>
        <w:trPr>
          <w:trHeight w:val="248" w:hRule="atLeast"/>
        </w:trPr>
        <w:tc>
          <w:tcPr>
            <w:tcW w:w="4313" w:type="dxa"/>
          </w:tcPr>
          <w:p>
            <w:pPr>
              <w:pStyle w:val="TableParagraph"/>
              <w:spacing w:line="221" w:lineRule="exact" w:before="7"/>
              <w:ind w:left="50"/>
              <w:rPr>
                <w:sz w:val="20"/>
              </w:rPr>
            </w:pPr>
            <w:r>
              <w:rPr>
                <w:sz w:val="20"/>
              </w:rPr>
              <w:t>% recaudado s/Importe bruto Padrón Fiscal</w:t>
            </w:r>
          </w:p>
        </w:tc>
        <w:tc>
          <w:tcPr>
            <w:tcW w:w="1464" w:type="dxa"/>
          </w:tcPr>
          <w:p>
            <w:pPr>
              <w:pStyle w:val="TableParagraph"/>
              <w:spacing w:line="221" w:lineRule="exact" w:before="7"/>
              <w:ind w:right="49"/>
              <w:jc w:val="right"/>
              <w:rPr>
                <w:i/>
                <w:sz w:val="20"/>
              </w:rPr>
            </w:pPr>
            <w:r>
              <w:rPr>
                <w:i/>
                <w:w w:val="95"/>
                <w:sz w:val="20"/>
              </w:rPr>
              <w:t>100,00%</w:t>
            </w:r>
          </w:p>
        </w:tc>
      </w:tr>
      <w:tr>
        <w:trPr>
          <w:trHeight w:val="233" w:hRule="atLeast"/>
        </w:trPr>
        <w:tc>
          <w:tcPr>
            <w:tcW w:w="4313" w:type="dxa"/>
          </w:tcPr>
          <w:p>
            <w:pPr>
              <w:pStyle w:val="TableParagraph"/>
              <w:spacing w:before="4"/>
              <w:ind w:left="50"/>
              <w:rPr>
                <w:sz w:val="20"/>
              </w:rPr>
            </w:pPr>
            <w:r>
              <w:rPr>
                <w:sz w:val="20"/>
              </w:rPr>
              <w:t>% recaudado s/Importe neto Padrón Fiscal</w:t>
            </w:r>
          </w:p>
        </w:tc>
        <w:tc>
          <w:tcPr>
            <w:tcW w:w="1464" w:type="dxa"/>
          </w:tcPr>
          <w:p>
            <w:pPr>
              <w:pStyle w:val="TableParagraph"/>
              <w:spacing w:before="4"/>
              <w:ind w:right="49"/>
              <w:jc w:val="right"/>
              <w:rPr>
                <w:i/>
                <w:sz w:val="20"/>
              </w:rPr>
            </w:pPr>
            <w:r>
              <w:rPr>
                <w:i/>
                <w:w w:val="95"/>
                <w:sz w:val="20"/>
              </w:rPr>
              <w:t>100,00%</w:t>
            </w:r>
          </w:p>
        </w:tc>
      </w:tr>
    </w:tbl>
    <w:p>
      <w:pPr>
        <w:spacing w:after="0"/>
        <w:jc w:val="right"/>
        <w:rPr>
          <w:sz w:val="20"/>
        </w:rPr>
        <w:sectPr>
          <w:pgSz w:w="11910" w:h="16840"/>
          <w:pgMar w:header="1217" w:footer="0" w:top="2740" w:bottom="280" w:left="1300" w:right="1440"/>
        </w:sectPr>
      </w:pPr>
    </w:p>
    <w:p>
      <w:pPr>
        <w:pStyle w:val="BodyText"/>
        <w:rPr>
          <w:rFonts w:ascii="Arial"/>
          <w:b/>
          <w:sz w:val="20"/>
        </w:rPr>
      </w:pPr>
    </w:p>
    <w:p>
      <w:pPr>
        <w:pStyle w:val="BodyText"/>
        <w:rPr>
          <w:rFonts w:ascii="Arial"/>
          <w:b/>
          <w:sz w:val="19"/>
        </w:rPr>
      </w:pPr>
    </w:p>
    <w:p>
      <w:pPr>
        <w:spacing w:before="93"/>
        <w:ind w:left="402" w:right="0" w:firstLine="0"/>
        <w:jc w:val="left"/>
        <w:rPr>
          <w:rFonts w:ascii="Arial"/>
          <w:b/>
          <w:sz w:val="20"/>
        </w:rPr>
      </w:pPr>
      <w:r>
        <w:rPr>
          <w:rFonts w:ascii="Arial"/>
          <w:b/>
          <w:sz w:val="20"/>
        </w:rPr>
        <w:t>Tasa de Vados</w:t>
      </w:r>
    </w:p>
    <w:p>
      <w:pPr>
        <w:pStyle w:val="BodyText"/>
        <w:spacing w:before="4" w:after="1"/>
        <w:rPr>
          <w:rFonts w:ascii="Arial"/>
          <w:b/>
          <w:sz w:val="22"/>
        </w:rPr>
      </w:pPr>
    </w:p>
    <w:tbl>
      <w:tblPr>
        <w:tblW w:w="0" w:type="auto"/>
        <w:jc w:val="left"/>
        <w:tblInd w:w="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4"/>
        <w:gridCol w:w="1409"/>
      </w:tblGrid>
      <w:tr>
        <w:trPr>
          <w:trHeight w:val="261" w:hRule="atLeast"/>
        </w:trPr>
        <w:tc>
          <w:tcPr>
            <w:tcW w:w="4424" w:type="dxa"/>
          </w:tcPr>
          <w:p>
            <w:pPr>
              <w:pStyle w:val="TableParagraph"/>
              <w:spacing w:line="223" w:lineRule="exact"/>
              <w:ind w:left="50"/>
              <w:rPr>
                <w:i/>
                <w:sz w:val="20"/>
              </w:rPr>
            </w:pPr>
            <w:r>
              <w:rPr>
                <w:i/>
                <w:sz w:val="20"/>
              </w:rPr>
              <w:t>RB</w:t>
            </w:r>
          </w:p>
        </w:tc>
        <w:tc>
          <w:tcPr>
            <w:tcW w:w="1409" w:type="dxa"/>
          </w:tcPr>
          <w:p>
            <w:pPr>
              <w:pStyle w:val="TableParagraph"/>
              <w:spacing w:line="240" w:lineRule="auto"/>
              <w:rPr>
                <w:rFonts w:ascii="Times New Roman"/>
                <w:sz w:val="18"/>
              </w:rPr>
            </w:pPr>
          </w:p>
        </w:tc>
      </w:tr>
      <w:tr>
        <w:trPr>
          <w:trHeight w:val="272" w:hRule="atLeast"/>
        </w:trPr>
        <w:tc>
          <w:tcPr>
            <w:tcW w:w="4424" w:type="dxa"/>
          </w:tcPr>
          <w:p>
            <w:pPr>
              <w:pStyle w:val="TableParagraph"/>
              <w:spacing w:line="221" w:lineRule="exact" w:before="31"/>
              <w:ind w:left="105"/>
              <w:rPr>
                <w:sz w:val="20"/>
              </w:rPr>
            </w:pPr>
            <w:r>
              <w:rPr>
                <w:sz w:val="20"/>
              </w:rPr>
              <w:t>Importe bruto Padrón Fiscal</w:t>
            </w:r>
          </w:p>
        </w:tc>
        <w:tc>
          <w:tcPr>
            <w:tcW w:w="1409" w:type="dxa"/>
          </w:tcPr>
          <w:p>
            <w:pPr>
              <w:pStyle w:val="TableParagraph"/>
              <w:spacing w:line="221" w:lineRule="exact" w:before="31"/>
              <w:ind w:right="53"/>
              <w:jc w:val="right"/>
              <w:rPr>
                <w:i/>
                <w:sz w:val="20"/>
              </w:rPr>
            </w:pPr>
            <w:r>
              <w:rPr>
                <w:i/>
                <w:sz w:val="20"/>
              </w:rPr>
              <w:t>67.580,00</w:t>
            </w:r>
          </w:p>
        </w:tc>
      </w:tr>
      <w:tr>
        <w:trPr>
          <w:trHeight w:val="245" w:hRule="atLeast"/>
        </w:trPr>
        <w:tc>
          <w:tcPr>
            <w:tcW w:w="4424" w:type="dxa"/>
          </w:tcPr>
          <w:p>
            <w:pPr>
              <w:pStyle w:val="TableParagraph"/>
              <w:spacing w:line="222" w:lineRule="exact" w:before="4"/>
              <w:ind w:left="105"/>
              <w:rPr>
                <w:sz w:val="20"/>
              </w:rPr>
            </w:pPr>
            <w:r>
              <w:rPr>
                <w:sz w:val="20"/>
              </w:rPr>
              <w:t>Anulaciones</w:t>
            </w:r>
          </w:p>
        </w:tc>
        <w:tc>
          <w:tcPr>
            <w:tcW w:w="1409" w:type="dxa"/>
          </w:tcPr>
          <w:p>
            <w:pPr>
              <w:pStyle w:val="TableParagraph"/>
              <w:spacing w:line="222" w:lineRule="exact" w:before="4"/>
              <w:ind w:right="48"/>
              <w:jc w:val="right"/>
              <w:rPr>
                <w:i/>
                <w:sz w:val="20"/>
              </w:rPr>
            </w:pPr>
            <w:r>
              <w:rPr>
                <w:i/>
                <w:w w:val="95"/>
                <w:sz w:val="20"/>
              </w:rPr>
              <w:t>800,00</w:t>
            </w:r>
          </w:p>
        </w:tc>
      </w:tr>
      <w:tr>
        <w:trPr>
          <w:trHeight w:val="248" w:hRule="atLeast"/>
        </w:trPr>
        <w:tc>
          <w:tcPr>
            <w:tcW w:w="4424" w:type="dxa"/>
          </w:tcPr>
          <w:p>
            <w:pPr>
              <w:pStyle w:val="TableParagraph"/>
              <w:spacing w:line="223" w:lineRule="exact" w:before="5"/>
              <w:ind w:left="105"/>
              <w:rPr>
                <w:sz w:val="20"/>
              </w:rPr>
            </w:pPr>
            <w:r>
              <w:rPr>
                <w:sz w:val="20"/>
              </w:rPr>
              <w:t>Importe neto Padrón Fiscal</w:t>
            </w:r>
          </w:p>
        </w:tc>
        <w:tc>
          <w:tcPr>
            <w:tcW w:w="1409" w:type="dxa"/>
          </w:tcPr>
          <w:p>
            <w:pPr>
              <w:pStyle w:val="TableParagraph"/>
              <w:spacing w:line="223" w:lineRule="exact" w:before="5"/>
              <w:ind w:right="49"/>
              <w:jc w:val="right"/>
              <w:rPr>
                <w:i/>
                <w:sz w:val="20"/>
              </w:rPr>
            </w:pPr>
            <w:r>
              <w:rPr>
                <w:i/>
                <w:sz w:val="20"/>
              </w:rPr>
              <w:t>66.780,00</w:t>
            </w:r>
          </w:p>
        </w:tc>
      </w:tr>
      <w:tr>
        <w:trPr>
          <w:trHeight w:val="250" w:hRule="atLeast"/>
        </w:trPr>
        <w:tc>
          <w:tcPr>
            <w:tcW w:w="4424" w:type="dxa"/>
          </w:tcPr>
          <w:p>
            <w:pPr>
              <w:pStyle w:val="TableParagraph"/>
              <w:spacing w:line="225" w:lineRule="exact" w:before="6"/>
              <w:ind w:left="105"/>
              <w:rPr>
                <w:sz w:val="20"/>
              </w:rPr>
            </w:pPr>
            <w:r>
              <w:rPr>
                <w:sz w:val="20"/>
              </w:rPr>
              <w:t>Importe Recaudado</w:t>
            </w:r>
          </w:p>
        </w:tc>
        <w:tc>
          <w:tcPr>
            <w:tcW w:w="1409" w:type="dxa"/>
          </w:tcPr>
          <w:p>
            <w:pPr>
              <w:pStyle w:val="TableParagraph"/>
              <w:spacing w:line="225" w:lineRule="exact" w:before="6"/>
              <w:ind w:right="49"/>
              <w:jc w:val="right"/>
              <w:rPr>
                <w:i/>
                <w:sz w:val="20"/>
              </w:rPr>
            </w:pPr>
            <w:r>
              <w:rPr>
                <w:i/>
                <w:sz w:val="20"/>
              </w:rPr>
              <w:t>56.440,00</w:t>
            </w:r>
          </w:p>
        </w:tc>
      </w:tr>
      <w:tr>
        <w:trPr>
          <w:trHeight w:val="248" w:hRule="atLeast"/>
        </w:trPr>
        <w:tc>
          <w:tcPr>
            <w:tcW w:w="4424" w:type="dxa"/>
          </w:tcPr>
          <w:p>
            <w:pPr>
              <w:pStyle w:val="TableParagraph"/>
              <w:spacing w:line="221" w:lineRule="exact" w:before="7"/>
              <w:ind w:left="105"/>
              <w:rPr>
                <w:sz w:val="20"/>
              </w:rPr>
            </w:pPr>
            <w:r>
              <w:rPr>
                <w:sz w:val="20"/>
              </w:rPr>
              <w:t>% recaudado s/Importe bruto Padrón Fiscal</w:t>
            </w:r>
          </w:p>
        </w:tc>
        <w:tc>
          <w:tcPr>
            <w:tcW w:w="1409" w:type="dxa"/>
          </w:tcPr>
          <w:p>
            <w:pPr>
              <w:pStyle w:val="TableParagraph"/>
              <w:spacing w:line="221" w:lineRule="exact" w:before="7"/>
              <w:ind w:right="49"/>
              <w:jc w:val="right"/>
              <w:rPr>
                <w:i/>
                <w:sz w:val="20"/>
              </w:rPr>
            </w:pPr>
            <w:r>
              <w:rPr>
                <w:i/>
                <w:sz w:val="20"/>
              </w:rPr>
              <w:t>83,52%</w:t>
            </w:r>
          </w:p>
        </w:tc>
      </w:tr>
      <w:tr>
        <w:trPr>
          <w:trHeight w:val="306" w:hRule="atLeast"/>
        </w:trPr>
        <w:tc>
          <w:tcPr>
            <w:tcW w:w="4424" w:type="dxa"/>
          </w:tcPr>
          <w:p>
            <w:pPr>
              <w:pStyle w:val="TableParagraph"/>
              <w:spacing w:line="240" w:lineRule="auto" w:before="4"/>
              <w:ind w:left="105"/>
              <w:rPr>
                <w:sz w:val="20"/>
              </w:rPr>
            </w:pPr>
            <w:r>
              <w:rPr>
                <w:sz w:val="20"/>
              </w:rPr>
              <w:t>% recaudado s/Importe neto Padrón Fiscal</w:t>
            </w:r>
          </w:p>
        </w:tc>
        <w:tc>
          <w:tcPr>
            <w:tcW w:w="1409" w:type="dxa"/>
          </w:tcPr>
          <w:p>
            <w:pPr>
              <w:pStyle w:val="TableParagraph"/>
              <w:spacing w:line="240" w:lineRule="auto" w:before="4"/>
              <w:ind w:right="49"/>
              <w:jc w:val="right"/>
              <w:rPr>
                <w:i/>
                <w:sz w:val="20"/>
              </w:rPr>
            </w:pPr>
            <w:r>
              <w:rPr>
                <w:i/>
                <w:sz w:val="20"/>
              </w:rPr>
              <w:t>84,52%</w:t>
            </w:r>
          </w:p>
        </w:tc>
      </w:tr>
      <w:tr>
        <w:trPr>
          <w:trHeight w:val="335" w:hRule="atLeast"/>
        </w:trPr>
        <w:tc>
          <w:tcPr>
            <w:tcW w:w="4424" w:type="dxa"/>
          </w:tcPr>
          <w:p>
            <w:pPr>
              <w:pStyle w:val="TableParagraph"/>
              <w:spacing w:line="240" w:lineRule="auto" w:before="65"/>
              <w:ind w:left="110"/>
              <w:rPr>
                <w:i/>
                <w:sz w:val="20"/>
              </w:rPr>
            </w:pPr>
            <w:r>
              <w:rPr>
                <w:i/>
                <w:sz w:val="20"/>
              </w:rPr>
              <w:t>ID</w:t>
            </w:r>
          </w:p>
        </w:tc>
        <w:tc>
          <w:tcPr>
            <w:tcW w:w="1409" w:type="dxa"/>
          </w:tcPr>
          <w:p>
            <w:pPr>
              <w:pStyle w:val="TableParagraph"/>
              <w:spacing w:line="240" w:lineRule="auto"/>
              <w:rPr>
                <w:rFonts w:ascii="Times New Roman"/>
                <w:sz w:val="18"/>
              </w:rPr>
            </w:pPr>
          </w:p>
        </w:tc>
      </w:tr>
      <w:tr>
        <w:trPr>
          <w:trHeight w:val="273" w:hRule="atLeast"/>
        </w:trPr>
        <w:tc>
          <w:tcPr>
            <w:tcW w:w="4424" w:type="dxa"/>
          </w:tcPr>
          <w:p>
            <w:pPr>
              <w:pStyle w:val="TableParagraph"/>
              <w:spacing w:line="221" w:lineRule="exact" w:before="32"/>
              <w:ind w:left="105"/>
              <w:rPr>
                <w:sz w:val="20"/>
              </w:rPr>
            </w:pPr>
            <w:r>
              <w:rPr>
                <w:sz w:val="20"/>
              </w:rPr>
              <w:t>Importe bruto Padrón Fiscal</w:t>
            </w:r>
          </w:p>
        </w:tc>
        <w:tc>
          <w:tcPr>
            <w:tcW w:w="1409" w:type="dxa"/>
          </w:tcPr>
          <w:p>
            <w:pPr>
              <w:pStyle w:val="TableParagraph"/>
              <w:spacing w:line="221" w:lineRule="exact" w:before="32"/>
              <w:ind w:right="53"/>
              <w:jc w:val="right"/>
              <w:rPr>
                <w:i/>
                <w:sz w:val="20"/>
              </w:rPr>
            </w:pPr>
            <w:r>
              <w:rPr>
                <w:i/>
                <w:w w:val="95"/>
                <w:sz w:val="20"/>
              </w:rPr>
              <w:t>8.795,00</w:t>
            </w:r>
          </w:p>
        </w:tc>
      </w:tr>
      <w:tr>
        <w:trPr>
          <w:trHeight w:val="244" w:hRule="atLeast"/>
        </w:trPr>
        <w:tc>
          <w:tcPr>
            <w:tcW w:w="4424" w:type="dxa"/>
          </w:tcPr>
          <w:p>
            <w:pPr>
              <w:pStyle w:val="TableParagraph"/>
              <w:spacing w:line="221" w:lineRule="exact" w:before="4"/>
              <w:ind w:left="105"/>
              <w:rPr>
                <w:sz w:val="20"/>
              </w:rPr>
            </w:pPr>
            <w:r>
              <w:rPr>
                <w:sz w:val="20"/>
              </w:rPr>
              <w:t>Anulaciones</w:t>
            </w:r>
          </w:p>
        </w:tc>
        <w:tc>
          <w:tcPr>
            <w:tcW w:w="1409" w:type="dxa"/>
          </w:tcPr>
          <w:p>
            <w:pPr>
              <w:pStyle w:val="TableParagraph"/>
              <w:spacing w:line="221" w:lineRule="exact" w:before="4"/>
              <w:ind w:right="48"/>
              <w:jc w:val="right"/>
              <w:rPr>
                <w:i/>
                <w:sz w:val="20"/>
              </w:rPr>
            </w:pPr>
            <w:r>
              <w:rPr>
                <w:i/>
                <w:w w:val="95"/>
                <w:sz w:val="20"/>
              </w:rPr>
              <w:t>120,00</w:t>
            </w:r>
          </w:p>
        </w:tc>
      </w:tr>
      <w:tr>
        <w:trPr>
          <w:trHeight w:val="248" w:hRule="atLeast"/>
        </w:trPr>
        <w:tc>
          <w:tcPr>
            <w:tcW w:w="4424" w:type="dxa"/>
          </w:tcPr>
          <w:p>
            <w:pPr>
              <w:pStyle w:val="TableParagraph"/>
              <w:spacing w:line="225" w:lineRule="exact" w:before="4"/>
              <w:ind w:left="105"/>
              <w:rPr>
                <w:sz w:val="20"/>
              </w:rPr>
            </w:pPr>
            <w:r>
              <w:rPr>
                <w:sz w:val="20"/>
              </w:rPr>
              <w:t>Importe neto Padrón Fiscal</w:t>
            </w:r>
          </w:p>
        </w:tc>
        <w:tc>
          <w:tcPr>
            <w:tcW w:w="1409" w:type="dxa"/>
          </w:tcPr>
          <w:p>
            <w:pPr>
              <w:pStyle w:val="TableParagraph"/>
              <w:spacing w:line="225" w:lineRule="exact" w:before="4"/>
              <w:ind w:right="48"/>
              <w:jc w:val="right"/>
              <w:rPr>
                <w:i/>
                <w:sz w:val="20"/>
              </w:rPr>
            </w:pPr>
            <w:r>
              <w:rPr>
                <w:i/>
                <w:w w:val="95"/>
                <w:sz w:val="20"/>
              </w:rPr>
              <w:t>8.675,00</w:t>
            </w:r>
          </w:p>
        </w:tc>
      </w:tr>
      <w:tr>
        <w:trPr>
          <w:trHeight w:val="250" w:hRule="atLeast"/>
        </w:trPr>
        <w:tc>
          <w:tcPr>
            <w:tcW w:w="4424" w:type="dxa"/>
          </w:tcPr>
          <w:p>
            <w:pPr>
              <w:pStyle w:val="TableParagraph"/>
              <w:spacing w:line="223" w:lineRule="exact" w:before="7"/>
              <w:ind w:left="105"/>
              <w:rPr>
                <w:sz w:val="20"/>
              </w:rPr>
            </w:pPr>
            <w:r>
              <w:rPr>
                <w:sz w:val="20"/>
              </w:rPr>
              <w:t>Importe Recaudado</w:t>
            </w:r>
          </w:p>
        </w:tc>
        <w:tc>
          <w:tcPr>
            <w:tcW w:w="1409" w:type="dxa"/>
          </w:tcPr>
          <w:p>
            <w:pPr>
              <w:pStyle w:val="TableParagraph"/>
              <w:spacing w:line="223" w:lineRule="exact" w:before="7"/>
              <w:ind w:right="48"/>
              <w:jc w:val="right"/>
              <w:rPr>
                <w:i/>
                <w:sz w:val="20"/>
              </w:rPr>
            </w:pPr>
            <w:r>
              <w:rPr>
                <w:i/>
                <w:w w:val="95"/>
                <w:sz w:val="20"/>
              </w:rPr>
              <w:t>4.251,27</w:t>
            </w:r>
          </w:p>
        </w:tc>
      </w:tr>
      <w:tr>
        <w:trPr>
          <w:trHeight w:val="247" w:hRule="atLeast"/>
        </w:trPr>
        <w:tc>
          <w:tcPr>
            <w:tcW w:w="4424" w:type="dxa"/>
          </w:tcPr>
          <w:p>
            <w:pPr>
              <w:pStyle w:val="TableParagraph"/>
              <w:spacing w:line="221" w:lineRule="exact" w:before="6"/>
              <w:ind w:left="105"/>
              <w:rPr>
                <w:sz w:val="20"/>
              </w:rPr>
            </w:pPr>
            <w:r>
              <w:rPr>
                <w:sz w:val="20"/>
              </w:rPr>
              <w:t>% recaudado s/Importe bruto Padrón Fiscal</w:t>
            </w:r>
          </w:p>
        </w:tc>
        <w:tc>
          <w:tcPr>
            <w:tcW w:w="1409" w:type="dxa"/>
          </w:tcPr>
          <w:p>
            <w:pPr>
              <w:pStyle w:val="TableParagraph"/>
              <w:spacing w:line="221" w:lineRule="exact" w:before="6"/>
              <w:ind w:right="49"/>
              <w:jc w:val="right"/>
              <w:rPr>
                <w:i/>
                <w:sz w:val="20"/>
              </w:rPr>
            </w:pPr>
            <w:r>
              <w:rPr>
                <w:i/>
                <w:sz w:val="20"/>
              </w:rPr>
              <w:t>48,34%</w:t>
            </w:r>
          </w:p>
        </w:tc>
      </w:tr>
      <w:tr>
        <w:trPr>
          <w:trHeight w:val="233" w:hRule="atLeast"/>
        </w:trPr>
        <w:tc>
          <w:tcPr>
            <w:tcW w:w="4424" w:type="dxa"/>
          </w:tcPr>
          <w:p>
            <w:pPr>
              <w:pStyle w:val="TableParagraph"/>
              <w:spacing w:before="4"/>
              <w:ind w:left="105"/>
              <w:rPr>
                <w:sz w:val="20"/>
              </w:rPr>
            </w:pPr>
            <w:r>
              <w:rPr>
                <w:sz w:val="20"/>
              </w:rPr>
              <w:t>% recaudado s/Importe neto Padrón Fiscal</w:t>
            </w:r>
          </w:p>
        </w:tc>
        <w:tc>
          <w:tcPr>
            <w:tcW w:w="1409" w:type="dxa"/>
          </w:tcPr>
          <w:p>
            <w:pPr>
              <w:pStyle w:val="TableParagraph"/>
              <w:spacing w:before="4"/>
              <w:ind w:right="49"/>
              <w:jc w:val="right"/>
              <w:rPr>
                <w:i/>
                <w:sz w:val="20"/>
              </w:rPr>
            </w:pPr>
            <w:r>
              <w:rPr>
                <w:i/>
                <w:sz w:val="20"/>
              </w:rPr>
              <w:t>49,01%</w:t>
            </w:r>
          </w:p>
        </w:tc>
      </w:tr>
    </w:tbl>
    <w:p>
      <w:pPr>
        <w:pStyle w:val="BodyText"/>
        <w:rPr>
          <w:rFonts w:ascii="Arial"/>
          <w:b/>
          <w:sz w:val="20"/>
        </w:rPr>
      </w:pPr>
    </w:p>
    <w:p>
      <w:pPr>
        <w:pStyle w:val="BodyText"/>
        <w:spacing w:before="10"/>
        <w:rPr>
          <w:rFonts w:ascii="Arial"/>
          <w:b/>
          <w:sz w:val="28"/>
        </w:rPr>
      </w:pP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79"/>
        <w:gridCol w:w="1464"/>
      </w:tblGrid>
      <w:tr>
        <w:trPr>
          <w:trHeight w:val="284" w:hRule="atLeast"/>
        </w:trPr>
        <w:tc>
          <w:tcPr>
            <w:tcW w:w="4479" w:type="dxa"/>
          </w:tcPr>
          <w:p>
            <w:pPr>
              <w:pStyle w:val="TableParagraph"/>
              <w:spacing w:line="223" w:lineRule="exact"/>
              <w:ind w:left="50"/>
              <w:rPr>
                <w:b/>
                <w:sz w:val="20"/>
              </w:rPr>
            </w:pPr>
            <w:r>
              <w:rPr>
                <w:b/>
                <w:sz w:val="20"/>
              </w:rPr>
              <w:t>Tasa utilización del dominio público local</w:t>
            </w:r>
          </w:p>
        </w:tc>
        <w:tc>
          <w:tcPr>
            <w:tcW w:w="1464" w:type="dxa"/>
            <w:vMerge w:val="restart"/>
          </w:tcPr>
          <w:p>
            <w:pPr>
              <w:pStyle w:val="TableParagraph"/>
              <w:spacing w:line="240" w:lineRule="auto"/>
              <w:rPr>
                <w:rFonts w:ascii="Times New Roman"/>
                <w:sz w:val="18"/>
              </w:rPr>
            </w:pPr>
          </w:p>
        </w:tc>
      </w:tr>
      <w:tr>
        <w:trPr>
          <w:trHeight w:val="324" w:hRule="atLeast"/>
        </w:trPr>
        <w:tc>
          <w:tcPr>
            <w:tcW w:w="4479" w:type="dxa"/>
          </w:tcPr>
          <w:p>
            <w:pPr>
              <w:pStyle w:val="TableParagraph"/>
              <w:spacing w:line="240" w:lineRule="auto" w:before="54"/>
              <w:ind w:left="220"/>
              <w:rPr>
                <w:i/>
                <w:sz w:val="20"/>
              </w:rPr>
            </w:pPr>
            <w:r>
              <w:rPr>
                <w:i/>
                <w:sz w:val="20"/>
              </w:rPr>
              <w:t>AU</w:t>
            </w:r>
          </w:p>
        </w:tc>
        <w:tc>
          <w:tcPr>
            <w:tcW w:w="1464" w:type="dxa"/>
            <w:vMerge/>
            <w:tcBorders>
              <w:top w:val="nil"/>
            </w:tcBorders>
          </w:tcPr>
          <w:p>
            <w:pPr>
              <w:rPr>
                <w:sz w:val="2"/>
                <w:szCs w:val="2"/>
              </w:rPr>
            </w:pPr>
          </w:p>
        </w:tc>
      </w:tr>
      <w:tr>
        <w:trPr>
          <w:trHeight w:val="273" w:hRule="atLeast"/>
        </w:trPr>
        <w:tc>
          <w:tcPr>
            <w:tcW w:w="4479" w:type="dxa"/>
          </w:tcPr>
          <w:p>
            <w:pPr>
              <w:pStyle w:val="TableParagraph"/>
              <w:spacing w:line="221" w:lineRule="exact" w:before="32"/>
              <w:ind w:left="215"/>
              <w:rPr>
                <w:sz w:val="20"/>
              </w:rPr>
            </w:pPr>
            <w:r>
              <w:rPr>
                <w:sz w:val="20"/>
              </w:rPr>
              <w:t>Importe bruto Padrón Fiscal</w:t>
            </w:r>
          </w:p>
        </w:tc>
        <w:tc>
          <w:tcPr>
            <w:tcW w:w="1464" w:type="dxa"/>
          </w:tcPr>
          <w:p>
            <w:pPr>
              <w:pStyle w:val="TableParagraph"/>
              <w:spacing w:line="221" w:lineRule="exact" w:before="32"/>
              <w:ind w:right="53"/>
              <w:jc w:val="right"/>
              <w:rPr>
                <w:i/>
                <w:sz w:val="20"/>
              </w:rPr>
            </w:pPr>
            <w:r>
              <w:rPr>
                <w:i/>
                <w:sz w:val="20"/>
              </w:rPr>
              <w:t>139.266,43</w:t>
            </w:r>
          </w:p>
        </w:tc>
      </w:tr>
      <w:tr>
        <w:trPr>
          <w:trHeight w:val="246" w:hRule="atLeast"/>
        </w:trPr>
        <w:tc>
          <w:tcPr>
            <w:tcW w:w="4479" w:type="dxa"/>
          </w:tcPr>
          <w:p>
            <w:pPr>
              <w:pStyle w:val="TableParagraph"/>
              <w:spacing w:line="222" w:lineRule="exact" w:before="4"/>
              <w:ind w:left="215"/>
              <w:rPr>
                <w:sz w:val="20"/>
              </w:rPr>
            </w:pPr>
            <w:r>
              <w:rPr>
                <w:sz w:val="20"/>
              </w:rPr>
              <w:t>Anulaciones</w:t>
            </w:r>
          </w:p>
        </w:tc>
        <w:tc>
          <w:tcPr>
            <w:tcW w:w="1464" w:type="dxa"/>
          </w:tcPr>
          <w:p>
            <w:pPr>
              <w:pStyle w:val="TableParagraph"/>
              <w:spacing w:line="222" w:lineRule="exact" w:before="4"/>
              <w:ind w:right="48"/>
              <w:jc w:val="right"/>
              <w:rPr>
                <w:i/>
                <w:sz w:val="20"/>
              </w:rPr>
            </w:pPr>
            <w:r>
              <w:rPr>
                <w:i/>
                <w:w w:val="95"/>
                <w:sz w:val="20"/>
              </w:rPr>
              <w:t>0,00</w:t>
            </w:r>
          </w:p>
        </w:tc>
      </w:tr>
      <w:tr>
        <w:trPr>
          <w:trHeight w:val="248" w:hRule="atLeast"/>
        </w:trPr>
        <w:tc>
          <w:tcPr>
            <w:tcW w:w="4479" w:type="dxa"/>
          </w:tcPr>
          <w:p>
            <w:pPr>
              <w:pStyle w:val="TableParagraph"/>
              <w:spacing w:line="223" w:lineRule="exact" w:before="5"/>
              <w:ind w:left="215"/>
              <w:rPr>
                <w:sz w:val="20"/>
              </w:rPr>
            </w:pPr>
            <w:r>
              <w:rPr>
                <w:sz w:val="20"/>
              </w:rPr>
              <w:t>Importe neto Padrón Fiscal</w:t>
            </w:r>
          </w:p>
        </w:tc>
        <w:tc>
          <w:tcPr>
            <w:tcW w:w="1464" w:type="dxa"/>
          </w:tcPr>
          <w:p>
            <w:pPr>
              <w:pStyle w:val="TableParagraph"/>
              <w:spacing w:line="223" w:lineRule="exact" w:before="5"/>
              <w:ind w:right="49"/>
              <w:jc w:val="right"/>
              <w:rPr>
                <w:i/>
                <w:sz w:val="20"/>
              </w:rPr>
            </w:pPr>
            <w:r>
              <w:rPr>
                <w:i/>
                <w:sz w:val="20"/>
              </w:rPr>
              <w:t>139.266,43</w:t>
            </w:r>
          </w:p>
        </w:tc>
      </w:tr>
      <w:tr>
        <w:trPr>
          <w:trHeight w:val="249" w:hRule="atLeast"/>
        </w:trPr>
        <w:tc>
          <w:tcPr>
            <w:tcW w:w="4479" w:type="dxa"/>
          </w:tcPr>
          <w:p>
            <w:pPr>
              <w:pStyle w:val="TableParagraph"/>
              <w:spacing w:line="223" w:lineRule="exact" w:before="6"/>
              <w:ind w:left="215"/>
              <w:rPr>
                <w:sz w:val="20"/>
              </w:rPr>
            </w:pPr>
            <w:r>
              <w:rPr>
                <w:sz w:val="20"/>
              </w:rPr>
              <w:t>Importe Recaudado</w:t>
            </w:r>
          </w:p>
        </w:tc>
        <w:tc>
          <w:tcPr>
            <w:tcW w:w="1464" w:type="dxa"/>
          </w:tcPr>
          <w:p>
            <w:pPr>
              <w:pStyle w:val="TableParagraph"/>
              <w:spacing w:line="223" w:lineRule="exact" w:before="6"/>
              <w:ind w:right="49"/>
              <w:jc w:val="right"/>
              <w:rPr>
                <w:i/>
                <w:sz w:val="20"/>
              </w:rPr>
            </w:pPr>
            <w:r>
              <w:rPr>
                <w:i/>
                <w:sz w:val="20"/>
              </w:rPr>
              <w:t>139.266,43</w:t>
            </w:r>
          </w:p>
        </w:tc>
      </w:tr>
      <w:tr>
        <w:trPr>
          <w:trHeight w:val="248" w:hRule="atLeast"/>
        </w:trPr>
        <w:tc>
          <w:tcPr>
            <w:tcW w:w="4479" w:type="dxa"/>
          </w:tcPr>
          <w:p>
            <w:pPr>
              <w:pStyle w:val="TableParagraph"/>
              <w:spacing w:line="222" w:lineRule="exact" w:before="6"/>
              <w:ind w:left="215"/>
              <w:rPr>
                <w:sz w:val="20"/>
              </w:rPr>
            </w:pPr>
            <w:r>
              <w:rPr>
                <w:sz w:val="20"/>
              </w:rPr>
              <w:t>% recaudado s/Importe bruto Padrón Fiscal</w:t>
            </w:r>
          </w:p>
        </w:tc>
        <w:tc>
          <w:tcPr>
            <w:tcW w:w="1464" w:type="dxa"/>
          </w:tcPr>
          <w:p>
            <w:pPr>
              <w:pStyle w:val="TableParagraph"/>
              <w:spacing w:line="222" w:lineRule="exact" w:before="6"/>
              <w:ind w:right="49"/>
              <w:jc w:val="right"/>
              <w:rPr>
                <w:i/>
                <w:sz w:val="20"/>
              </w:rPr>
            </w:pPr>
            <w:r>
              <w:rPr>
                <w:i/>
                <w:w w:val="95"/>
                <w:sz w:val="20"/>
              </w:rPr>
              <w:t>100,00%</w:t>
            </w:r>
          </w:p>
        </w:tc>
      </w:tr>
      <w:tr>
        <w:trPr>
          <w:trHeight w:val="234" w:hRule="atLeast"/>
        </w:trPr>
        <w:tc>
          <w:tcPr>
            <w:tcW w:w="4479" w:type="dxa"/>
          </w:tcPr>
          <w:p>
            <w:pPr>
              <w:pStyle w:val="TableParagraph"/>
              <w:spacing w:before="5"/>
              <w:ind w:left="215"/>
              <w:rPr>
                <w:sz w:val="20"/>
              </w:rPr>
            </w:pPr>
            <w:r>
              <w:rPr>
                <w:sz w:val="20"/>
              </w:rPr>
              <w:t>% recaudado s/Importe neto Padrón Fiscal</w:t>
            </w:r>
          </w:p>
        </w:tc>
        <w:tc>
          <w:tcPr>
            <w:tcW w:w="1464" w:type="dxa"/>
          </w:tcPr>
          <w:p>
            <w:pPr>
              <w:pStyle w:val="TableParagraph"/>
              <w:spacing w:before="5"/>
              <w:ind w:right="49"/>
              <w:jc w:val="right"/>
              <w:rPr>
                <w:i/>
                <w:sz w:val="20"/>
              </w:rPr>
            </w:pPr>
            <w:r>
              <w:rPr>
                <w:i/>
                <w:w w:val="95"/>
                <w:sz w:val="20"/>
              </w:rPr>
              <w:t>100,00%</w:t>
            </w:r>
          </w:p>
        </w:tc>
      </w:tr>
    </w:tbl>
    <w:p>
      <w:pPr>
        <w:pStyle w:val="BodyText"/>
        <w:rPr>
          <w:rFonts w:ascii="Arial"/>
          <w:b/>
          <w:sz w:val="22"/>
        </w:rPr>
      </w:pPr>
    </w:p>
    <w:p>
      <w:pPr>
        <w:pStyle w:val="BodyText"/>
        <w:rPr>
          <w:rFonts w:ascii="Arial"/>
          <w:b/>
          <w:sz w:val="22"/>
        </w:rPr>
      </w:pPr>
    </w:p>
    <w:p>
      <w:pPr>
        <w:pStyle w:val="BodyText"/>
        <w:spacing w:before="5"/>
        <w:rPr>
          <w:rFonts w:ascii="Arial"/>
          <w:b/>
          <w:sz w:val="19"/>
        </w:rPr>
      </w:pPr>
    </w:p>
    <w:p>
      <w:pPr>
        <w:spacing w:before="0"/>
        <w:ind w:left="402" w:right="0" w:firstLine="0"/>
        <w:jc w:val="left"/>
        <w:rPr>
          <w:rFonts w:ascii="Arial" w:hAnsi="Arial"/>
          <w:b/>
          <w:sz w:val="20"/>
        </w:rPr>
      </w:pPr>
      <w:r>
        <w:rPr>
          <w:rFonts w:ascii="Arial" w:hAnsi="Arial"/>
          <w:b/>
          <w:sz w:val="20"/>
        </w:rPr>
        <w:t>Tasa utilización dominio público Mesas y Sillas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62" w:hRule="atLeast"/>
        </w:trPr>
        <w:tc>
          <w:tcPr>
            <w:tcW w:w="4368" w:type="dxa"/>
          </w:tcPr>
          <w:p>
            <w:pPr>
              <w:pStyle w:val="TableParagraph"/>
              <w:spacing w:line="223" w:lineRule="exact"/>
              <w:ind w:left="54"/>
              <w:rPr>
                <w:i/>
                <w:sz w:val="20"/>
              </w:rPr>
            </w:pPr>
            <w:r>
              <w:rPr>
                <w:i/>
                <w:sz w:val="20"/>
              </w:rPr>
              <w:t>AU</w:t>
            </w:r>
          </w:p>
        </w:tc>
        <w:tc>
          <w:tcPr>
            <w:tcW w:w="1408" w:type="dxa"/>
          </w:tcPr>
          <w:p>
            <w:pPr>
              <w:pStyle w:val="TableParagraph"/>
              <w:spacing w:line="240" w:lineRule="auto"/>
              <w:rPr>
                <w:rFonts w:ascii="Times New Roman"/>
                <w:sz w:val="18"/>
              </w:rPr>
            </w:pPr>
          </w:p>
        </w:tc>
      </w:tr>
      <w:tr>
        <w:trPr>
          <w:trHeight w:val="273" w:hRule="atLeast"/>
        </w:trPr>
        <w:tc>
          <w:tcPr>
            <w:tcW w:w="4368" w:type="dxa"/>
          </w:tcPr>
          <w:p>
            <w:pPr>
              <w:pStyle w:val="TableParagraph"/>
              <w:spacing w:line="221" w:lineRule="exact" w:before="32"/>
              <w:ind w:left="50"/>
              <w:rPr>
                <w:sz w:val="20"/>
              </w:rPr>
            </w:pPr>
            <w:r>
              <w:rPr>
                <w:sz w:val="20"/>
              </w:rPr>
              <w:t>Importe bruto Padrón Fiscal</w:t>
            </w:r>
          </w:p>
        </w:tc>
        <w:tc>
          <w:tcPr>
            <w:tcW w:w="1408" w:type="dxa"/>
          </w:tcPr>
          <w:p>
            <w:pPr>
              <w:pStyle w:val="TableParagraph"/>
              <w:spacing w:line="221" w:lineRule="exact" w:before="32"/>
              <w:ind w:right="52"/>
              <w:jc w:val="right"/>
              <w:rPr>
                <w:i/>
                <w:sz w:val="20"/>
              </w:rPr>
            </w:pPr>
            <w:r>
              <w:rPr>
                <w:i/>
                <w:sz w:val="20"/>
              </w:rPr>
              <w:t>12.951,27</w:t>
            </w:r>
          </w:p>
        </w:tc>
      </w:tr>
      <w:tr>
        <w:trPr>
          <w:trHeight w:val="244" w:hRule="atLeast"/>
        </w:trPr>
        <w:tc>
          <w:tcPr>
            <w:tcW w:w="4368" w:type="dxa"/>
          </w:tcPr>
          <w:p>
            <w:pPr>
              <w:pStyle w:val="TableParagraph"/>
              <w:spacing w:line="221" w:lineRule="exact" w:before="4"/>
              <w:ind w:left="50"/>
              <w:rPr>
                <w:sz w:val="20"/>
              </w:rPr>
            </w:pPr>
            <w:r>
              <w:rPr>
                <w:sz w:val="20"/>
              </w:rPr>
              <w:t>Anulaciones</w:t>
            </w:r>
          </w:p>
        </w:tc>
        <w:tc>
          <w:tcPr>
            <w:tcW w:w="1408" w:type="dxa"/>
          </w:tcPr>
          <w:p>
            <w:pPr>
              <w:pStyle w:val="TableParagraph"/>
              <w:spacing w:line="221" w:lineRule="exact" w:before="4"/>
              <w:ind w:right="47"/>
              <w:jc w:val="right"/>
              <w:rPr>
                <w:i/>
                <w:sz w:val="20"/>
              </w:rPr>
            </w:pPr>
            <w:r>
              <w:rPr>
                <w:i/>
                <w:w w:val="95"/>
                <w:sz w:val="20"/>
              </w:rPr>
              <w:t>0,00</w:t>
            </w:r>
          </w:p>
        </w:tc>
      </w:tr>
      <w:tr>
        <w:trPr>
          <w:trHeight w:val="248" w:hRule="atLeast"/>
        </w:trPr>
        <w:tc>
          <w:tcPr>
            <w:tcW w:w="4368" w:type="dxa"/>
          </w:tcPr>
          <w:p>
            <w:pPr>
              <w:pStyle w:val="TableParagraph"/>
              <w:spacing w:line="225" w:lineRule="exact" w:before="4"/>
              <w:ind w:left="50"/>
              <w:rPr>
                <w:sz w:val="20"/>
              </w:rPr>
            </w:pPr>
            <w:r>
              <w:rPr>
                <w:sz w:val="20"/>
              </w:rPr>
              <w:t>Importe neto Padrón Fiscal</w:t>
            </w:r>
          </w:p>
        </w:tc>
        <w:tc>
          <w:tcPr>
            <w:tcW w:w="1408" w:type="dxa"/>
          </w:tcPr>
          <w:p>
            <w:pPr>
              <w:pStyle w:val="TableParagraph"/>
              <w:spacing w:line="225" w:lineRule="exact" w:before="4"/>
              <w:ind w:right="47"/>
              <w:jc w:val="right"/>
              <w:rPr>
                <w:i/>
                <w:sz w:val="20"/>
              </w:rPr>
            </w:pPr>
            <w:r>
              <w:rPr>
                <w:i/>
                <w:sz w:val="20"/>
              </w:rPr>
              <w:t>12.951,27</w:t>
            </w:r>
          </w:p>
        </w:tc>
      </w:tr>
      <w:tr>
        <w:trPr>
          <w:trHeight w:val="250" w:hRule="atLeast"/>
        </w:trPr>
        <w:tc>
          <w:tcPr>
            <w:tcW w:w="4368" w:type="dxa"/>
          </w:tcPr>
          <w:p>
            <w:pPr>
              <w:pStyle w:val="TableParagraph"/>
              <w:spacing w:line="223" w:lineRule="exact" w:before="7"/>
              <w:ind w:left="50"/>
              <w:rPr>
                <w:sz w:val="20"/>
              </w:rPr>
            </w:pPr>
            <w:r>
              <w:rPr>
                <w:sz w:val="20"/>
              </w:rPr>
              <w:t>Importe Recaudado</w:t>
            </w:r>
          </w:p>
        </w:tc>
        <w:tc>
          <w:tcPr>
            <w:tcW w:w="1408" w:type="dxa"/>
          </w:tcPr>
          <w:p>
            <w:pPr>
              <w:pStyle w:val="TableParagraph"/>
              <w:spacing w:line="223" w:lineRule="exact" w:before="7"/>
              <w:ind w:right="47"/>
              <w:jc w:val="right"/>
              <w:rPr>
                <w:i/>
                <w:sz w:val="20"/>
              </w:rPr>
            </w:pPr>
            <w:r>
              <w:rPr>
                <w:i/>
                <w:sz w:val="20"/>
              </w:rPr>
              <w:t>12.951,27</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8"/>
              <w:jc w:val="right"/>
              <w:rPr>
                <w:i/>
                <w:sz w:val="20"/>
              </w:rPr>
            </w:pPr>
            <w:r>
              <w:rPr>
                <w:i/>
                <w:w w:val="95"/>
                <w:sz w:val="20"/>
              </w:rPr>
              <w:t>100,00%</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8"/>
              <w:jc w:val="right"/>
              <w:rPr>
                <w:i/>
                <w:sz w:val="20"/>
              </w:rPr>
            </w:pPr>
            <w:r>
              <w:rPr>
                <w:i/>
                <w:w w:val="95"/>
                <w:sz w:val="20"/>
              </w:rPr>
              <w:t>100,00%</w:t>
            </w:r>
          </w:p>
        </w:tc>
      </w:tr>
    </w:tbl>
    <w:p>
      <w:pPr>
        <w:pStyle w:val="BodyText"/>
        <w:rPr>
          <w:rFonts w:ascii="Arial"/>
          <w:b/>
          <w:sz w:val="22"/>
        </w:rPr>
      </w:pPr>
    </w:p>
    <w:p>
      <w:pPr>
        <w:spacing w:before="0"/>
        <w:ind w:left="402" w:right="0" w:firstLine="0"/>
        <w:jc w:val="left"/>
        <w:rPr>
          <w:rFonts w:ascii="Arial"/>
          <w:b/>
          <w:sz w:val="20"/>
        </w:rPr>
      </w:pPr>
      <w:r>
        <w:rPr>
          <w:rFonts w:ascii="Arial"/>
          <w:b/>
          <w:sz w:val="20"/>
        </w:rPr>
        <w:t>Tasas e Impuestos</w:t>
      </w:r>
    </w:p>
    <w:p>
      <w:pPr>
        <w:pStyle w:val="BodyText"/>
        <w:spacing w:before="8"/>
        <w:rPr>
          <w:rFonts w:ascii="Arial"/>
          <w:b/>
          <w:sz w:val="10"/>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408"/>
      </w:tblGrid>
      <w:tr>
        <w:trPr>
          <w:trHeight w:val="262" w:hRule="atLeast"/>
        </w:trPr>
        <w:tc>
          <w:tcPr>
            <w:tcW w:w="4368" w:type="dxa"/>
          </w:tcPr>
          <w:p>
            <w:pPr>
              <w:pStyle w:val="TableParagraph"/>
              <w:spacing w:line="223" w:lineRule="exact"/>
              <w:ind w:left="54"/>
              <w:rPr>
                <w:i/>
                <w:sz w:val="20"/>
              </w:rPr>
            </w:pPr>
            <w:r>
              <w:rPr>
                <w:i/>
                <w:sz w:val="20"/>
              </w:rPr>
              <w:t>ID</w:t>
            </w:r>
          </w:p>
        </w:tc>
        <w:tc>
          <w:tcPr>
            <w:tcW w:w="1408" w:type="dxa"/>
          </w:tcPr>
          <w:p>
            <w:pPr>
              <w:pStyle w:val="TableParagraph"/>
              <w:spacing w:line="240" w:lineRule="auto"/>
              <w:rPr>
                <w:rFonts w:ascii="Times New Roman"/>
                <w:sz w:val="18"/>
              </w:rPr>
            </w:pPr>
          </w:p>
        </w:tc>
      </w:tr>
      <w:tr>
        <w:trPr>
          <w:trHeight w:val="273" w:hRule="atLeast"/>
        </w:trPr>
        <w:tc>
          <w:tcPr>
            <w:tcW w:w="4368" w:type="dxa"/>
          </w:tcPr>
          <w:p>
            <w:pPr>
              <w:pStyle w:val="TableParagraph"/>
              <w:spacing w:line="221" w:lineRule="exact" w:before="32"/>
              <w:ind w:left="50"/>
              <w:rPr>
                <w:sz w:val="20"/>
              </w:rPr>
            </w:pPr>
            <w:r>
              <w:rPr>
                <w:sz w:val="20"/>
              </w:rPr>
              <w:t>Importe bruto Padrón Fiscal</w:t>
            </w:r>
          </w:p>
        </w:tc>
        <w:tc>
          <w:tcPr>
            <w:tcW w:w="1408" w:type="dxa"/>
          </w:tcPr>
          <w:p>
            <w:pPr>
              <w:pStyle w:val="TableParagraph"/>
              <w:spacing w:line="221" w:lineRule="exact" w:before="32"/>
              <w:ind w:right="52"/>
              <w:jc w:val="right"/>
              <w:rPr>
                <w:i/>
                <w:sz w:val="20"/>
              </w:rPr>
            </w:pPr>
            <w:r>
              <w:rPr>
                <w:i/>
                <w:sz w:val="20"/>
              </w:rPr>
              <w:t>85.603,05</w:t>
            </w:r>
          </w:p>
        </w:tc>
      </w:tr>
      <w:tr>
        <w:trPr>
          <w:trHeight w:val="244" w:hRule="atLeast"/>
        </w:trPr>
        <w:tc>
          <w:tcPr>
            <w:tcW w:w="4368" w:type="dxa"/>
          </w:tcPr>
          <w:p>
            <w:pPr>
              <w:pStyle w:val="TableParagraph"/>
              <w:spacing w:line="221" w:lineRule="exact" w:before="4"/>
              <w:ind w:left="50"/>
              <w:rPr>
                <w:sz w:val="20"/>
              </w:rPr>
            </w:pPr>
            <w:r>
              <w:rPr>
                <w:sz w:val="20"/>
              </w:rPr>
              <w:t>Anulaciones</w:t>
            </w:r>
          </w:p>
        </w:tc>
        <w:tc>
          <w:tcPr>
            <w:tcW w:w="1408" w:type="dxa"/>
          </w:tcPr>
          <w:p>
            <w:pPr>
              <w:pStyle w:val="TableParagraph"/>
              <w:spacing w:line="221" w:lineRule="exact" w:before="4"/>
              <w:ind w:right="47"/>
              <w:jc w:val="right"/>
              <w:rPr>
                <w:i/>
                <w:sz w:val="20"/>
              </w:rPr>
            </w:pPr>
            <w:r>
              <w:rPr>
                <w:i/>
                <w:w w:val="95"/>
                <w:sz w:val="20"/>
              </w:rPr>
              <w:t>0,00</w:t>
            </w:r>
          </w:p>
        </w:tc>
      </w:tr>
      <w:tr>
        <w:trPr>
          <w:trHeight w:val="248" w:hRule="atLeast"/>
        </w:trPr>
        <w:tc>
          <w:tcPr>
            <w:tcW w:w="4368" w:type="dxa"/>
          </w:tcPr>
          <w:p>
            <w:pPr>
              <w:pStyle w:val="TableParagraph"/>
              <w:spacing w:line="225" w:lineRule="exact" w:before="4"/>
              <w:ind w:left="50"/>
              <w:rPr>
                <w:sz w:val="20"/>
              </w:rPr>
            </w:pPr>
            <w:r>
              <w:rPr>
                <w:sz w:val="20"/>
              </w:rPr>
              <w:t>Importe neto Padrón Fiscal</w:t>
            </w:r>
          </w:p>
        </w:tc>
        <w:tc>
          <w:tcPr>
            <w:tcW w:w="1408" w:type="dxa"/>
          </w:tcPr>
          <w:p>
            <w:pPr>
              <w:pStyle w:val="TableParagraph"/>
              <w:spacing w:line="225" w:lineRule="exact" w:before="4"/>
              <w:ind w:right="47"/>
              <w:jc w:val="right"/>
              <w:rPr>
                <w:i/>
                <w:sz w:val="20"/>
              </w:rPr>
            </w:pPr>
            <w:r>
              <w:rPr>
                <w:i/>
                <w:sz w:val="20"/>
              </w:rPr>
              <w:t>85.603,05</w:t>
            </w:r>
          </w:p>
        </w:tc>
      </w:tr>
      <w:tr>
        <w:trPr>
          <w:trHeight w:val="250" w:hRule="atLeast"/>
        </w:trPr>
        <w:tc>
          <w:tcPr>
            <w:tcW w:w="4368" w:type="dxa"/>
          </w:tcPr>
          <w:p>
            <w:pPr>
              <w:pStyle w:val="TableParagraph"/>
              <w:spacing w:line="223" w:lineRule="exact" w:before="7"/>
              <w:ind w:left="50"/>
              <w:rPr>
                <w:sz w:val="20"/>
              </w:rPr>
            </w:pPr>
            <w:r>
              <w:rPr>
                <w:sz w:val="20"/>
              </w:rPr>
              <w:t>Importe Recaudado</w:t>
            </w:r>
          </w:p>
        </w:tc>
        <w:tc>
          <w:tcPr>
            <w:tcW w:w="1408" w:type="dxa"/>
          </w:tcPr>
          <w:p>
            <w:pPr>
              <w:pStyle w:val="TableParagraph"/>
              <w:spacing w:line="223" w:lineRule="exact" w:before="7"/>
              <w:ind w:right="47"/>
              <w:jc w:val="right"/>
              <w:rPr>
                <w:i/>
                <w:sz w:val="20"/>
              </w:rPr>
            </w:pPr>
            <w:r>
              <w:rPr>
                <w:i/>
                <w:sz w:val="20"/>
              </w:rPr>
              <w:t>83.801,37</w:t>
            </w:r>
          </w:p>
        </w:tc>
      </w:tr>
      <w:tr>
        <w:trPr>
          <w:trHeight w:val="247" w:hRule="atLeast"/>
        </w:trPr>
        <w:tc>
          <w:tcPr>
            <w:tcW w:w="4368" w:type="dxa"/>
          </w:tcPr>
          <w:p>
            <w:pPr>
              <w:pStyle w:val="TableParagraph"/>
              <w:spacing w:line="221" w:lineRule="exact" w:before="6"/>
              <w:ind w:left="50"/>
              <w:rPr>
                <w:sz w:val="20"/>
              </w:rPr>
            </w:pPr>
            <w:r>
              <w:rPr>
                <w:sz w:val="20"/>
              </w:rPr>
              <w:t>% recaudado s/Importe bruto Padrón Fiscal</w:t>
            </w:r>
          </w:p>
        </w:tc>
        <w:tc>
          <w:tcPr>
            <w:tcW w:w="1408" w:type="dxa"/>
          </w:tcPr>
          <w:p>
            <w:pPr>
              <w:pStyle w:val="TableParagraph"/>
              <w:spacing w:line="221" w:lineRule="exact" w:before="6"/>
              <w:ind w:right="47"/>
              <w:jc w:val="right"/>
              <w:rPr>
                <w:i/>
                <w:sz w:val="20"/>
              </w:rPr>
            </w:pPr>
            <w:r>
              <w:rPr>
                <w:i/>
                <w:sz w:val="20"/>
              </w:rPr>
              <w:t>97,90%</w:t>
            </w:r>
          </w:p>
        </w:tc>
      </w:tr>
      <w:tr>
        <w:trPr>
          <w:trHeight w:val="233" w:hRule="atLeast"/>
        </w:trPr>
        <w:tc>
          <w:tcPr>
            <w:tcW w:w="4368" w:type="dxa"/>
          </w:tcPr>
          <w:p>
            <w:pPr>
              <w:pStyle w:val="TableParagraph"/>
              <w:spacing w:before="4"/>
              <w:ind w:left="50"/>
              <w:rPr>
                <w:sz w:val="20"/>
              </w:rPr>
            </w:pPr>
            <w:r>
              <w:rPr>
                <w:sz w:val="20"/>
              </w:rPr>
              <w:t>% recaudado s/Importe neto Padrón Fiscal</w:t>
            </w:r>
          </w:p>
        </w:tc>
        <w:tc>
          <w:tcPr>
            <w:tcW w:w="1408" w:type="dxa"/>
          </w:tcPr>
          <w:p>
            <w:pPr>
              <w:pStyle w:val="TableParagraph"/>
              <w:spacing w:before="4"/>
              <w:ind w:right="47"/>
              <w:jc w:val="right"/>
              <w:rPr>
                <w:i/>
                <w:sz w:val="20"/>
              </w:rPr>
            </w:pPr>
            <w:r>
              <w:rPr>
                <w:i/>
                <w:sz w:val="20"/>
              </w:rPr>
              <w:t>97,90%</w:t>
            </w:r>
          </w:p>
        </w:tc>
      </w:tr>
    </w:tbl>
    <w:p>
      <w:pPr>
        <w:spacing w:after="0"/>
        <w:jc w:val="right"/>
        <w:rPr>
          <w:sz w:val="20"/>
        </w:rPr>
        <w:sectPr>
          <w:pgSz w:w="11910" w:h="16840"/>
          <w:pgMar w:header="1217" w:footer="0" w:top="2740" w:bottom="280" w:left="1300" w:right="144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18"/>
        </w:rPr>
      </w:pPr>
    </w:p>
    <w:p>
      <w:pPr>
        <w:spacing w:before="93"/>
        <w:ind w:left="410" w:right="271" w:firstLine="0"/>
        <w:jc w:val="center"/>
        <w:rPr>
          <w:rFonts w:ascii="Arial"/>
          <w:b/>
          <w:sz w:val="20"/>
        </w:rPr>
      </w:pPr>
      <w:r>
        <w:rPr>
          <w:rFonts w:ascii="Arial"/>
          <w:b/>
          <w:sz w:val="20"/>
          <w:u w:val="thick"/>
        </w:rPr>
        <w:t>DOMICILIACIONES</w:t>
      </w:r>
    </w:p>
    <w:p>
      <w:pPr>
        <w:pStyle w:val="BodyText"/>
        <w:spacing w:before="1"/>
        <w:rPr>
          <w:rFonts w:ascii="Arial"/>
          <w:b/>
          <w:sz w:val="20"/>
        </w:rPr>
      </w:pPr>
    </w:p>
    <w:tbl>
      <w:tblPr>
        <w:tblW w:w="0" w:type="auto"/>
        <w:jc w:val="left"/>
        <w:tblInd w:w="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32"/>
        <w:gridCol w:w="2410"/>
        <w:gridCol w:w="1561"/>
      </w:tblGrid>
      <w:tr>
        <w:trPr>
          <w:trHeight w:val="251" w:hRule="atLeast"/>
        </w:trPr>
        <w:tc>
          <w:tcPr>
            <w:tcW w:w="4532" w:type="dxa"/>
          </w:tcPr>
          <w:p>
            <w:pPr>
              <w:pStyle w:val="TableParagraph"/>
              <w:spacing w:line="211" w:lineRule="exact" w:before="21"/>
              <w:ind w:left="1782" w:right="1781"/>
              <w:jc w:val="center"/>
              <w:rPr>
                <w:b/>
                <w:sz w:val="20"/>
              </w:rPr>
            </w:pPr>
            <w:r>
              <w:rPr>
                <w:b/>
                <w:sz w:val="20"/>
              </w:rPr>
              <w:t>Concepto</w:t>
            </w:r>
          </w:p>
        </w:tc>
        <w:tc>
          <w:tcPr>
            <w:tcW w:w="2410" w:type="dxa"/>
          </w:tcPr>
          <w:p>
            <w:pPr>
              <w:pStyle w:val="TableParagraph"/>
              <w:spacing w:line="211" w:lineRule="exact" w:before="21"/>
              <w:ind w:left="80" w:right="21"/>
              <w:jc w:val="center"/>
              <w:rPr>
                <w:b/>
                <w:sz w:val="20"/>
              </w:rPr>
            </w:pPr>
            <w:r>
              <w:rPr>
                <w:b/>
                <w:sz w:val="20"/>
              </w:rPr>
              <w:t>Nº recibos domiciliados</w:t>
            </w:r>
          </w:p>
        </w:tc>
        <w:tc>
          <w:tcPr>
            <w:tcW w:w="1561" w:type="dxa"/>
          </w:tcPr>
          <w:p>
            <w:pPr>
              <w:pStyle w:val="TableParagraph"/>
              <w:spacing w:line="211" w:lineRule="exact" w:before="21"/>
              <w:ind w:left="410"/>
              <w:rPr>
                <w:b/>
                <w:sz w:val="20"/>
              </w:rPr>
            </w:pPr>
            <w:r>
              <w:rPr>
                <w:b/>
                <w:sz w:val="20"/>
              </w:rPr>
              <w:t>Importe</w:t>
            </w:r>
          </w:p>
        </w:tc>
      </w:tr>
      <w:tr>
        <w:trPr>
          <w:trHeight w:val="263" w:hRule="atLeast"/>
        </w:trPr>
        <w:tc>
          <w:tcPr>
            <w:tcW w:w="4532" w:type="dxa"/>
          </w:tcPr>
          <w:p>
            <w:pPr>
              <w:pStyle w:val="TableParagraph"/>
              <w:spacing w:line="223" w:lineRule="exact" w:before="21"/>
              <w:ind w:left="11"/>
              <w:rPr>
                <w:sz w:val="20"/>
              </w:rPr>
            </w:pPr>
            <w:r>
              <w:rPr>
                <w:sz w:val="20"/>
              </w:rPr>
              <w:t>IAE - Impuesto de Actividades Económicas</w:t>
            </w:r>
          </w:p>
        </w:tc>
        <w:tc>
          <w:tcPr>
            <w:tcW w:w="2410" w:type="dxa"/>
          </w:tcPr>
          <w:p>
            <w:pPr>
              <w:pStyle w:val="TableParagraph"/>
              <w:spacing w:line="223" w:lineRule="exact" w:before="21"/>
              <w:ind w:left="19" w:right="21"/>
              <w:jc w:val="center"/>
              <w:rPr>
                <w:sz w:val="20"/>
              </w:rPr>
            </w:pPr>
            <w:r>
              <w:rPr>
                <w:sz w:val="20"/>
              </w:rPr>
              <w:t>332</w:t>
            </w:r>
          </w:p>
        </w:tc>
        <w:tc>
          <w:tcPr>
            <w:tcW w:w="1561" w:type="dxa"/>
          </w:tcPr>
          <w:p>
            <w:pPr>
              <w:pStyle w:val="TableParagraph"/>
              <w:spacing w:line="223" w:lineRule="exact" w:before="21"/>
              <w:ind w:right="13"/>
              <w:jc w:val="right"/>
              <w:rPr>
                <w:sz w:val="20"/>
              </w:rPr>
            </w:pPr>
            <w:r>
              <w:rPr>
                <w:sz w:val="20"/>
              </w:rPr>
              <w:t>484.220,34</w:t>
            </w:r>
          </w:p>
        </w:tc>
      </w:tr>
      <w:tr>
        <w:trPr>
          <w:trHeight w:val="261" w:hRule="atLeast"/>
        </w:trPr>
        <w:tc>
          <w:tcPr>
            <w:tcW w:w="4532" w:type="dxa"/>
          </w:tcPr>
          <w:p>
            <w:pPr>
              <w:pStyle w:val="TableParagraph"/>
              <w:spacing w:line="220" w:lineRule="exact" w:before="21"/>
              <w:ind w:left="11"/>
              <w:rPr>
                <w:sz w:val="20"/>
              </w:rPr>
            </w:pPr>
            <w:r>
              <w:rPr>
                <w:sz w:val="20"/>
              </w:rPr>
              <w:t>IBIRCAT - Impuesto Bienes Rustica CAT</w:t>
            </w:r>
          </w:p>
        </w:tc>
        <w:tc>
          <w:tcPr>
            <w:tcW w:w="2410" w:type="dxa"/>
          </w:tcPr>
          <w:p>
            <w:pPr>
              <w:pStyle w:val="TableParagraph"/>
              <w:spacing w:line="220" w:lineRule="exact" w:before="21"/>
              <w:ind w:left="21" w:right="21"/>
              <w:jc w:val="center"/>
              <w:rPr>
                <w:sz w:val="20"/>
              </w:rPr>
            </w:pPr>
            <w:r>
              <w:rPr>
                <w:sz w:val="20"/>
              </w:rPr>
              <w:t>526</w:t>
            </w:r>
          </w:p>
        </w:tc>
        <w:tc>
          <w:tcPr>
            <w:tcW w:w="1561" w:type="dxa"/>
          </w:tcPr>
          <w:p>
            <w:pPr>
              <w:pStyle w:val="TableParagraph"/>
              <w:spacing w:line="220" w:lineRule="exact" w:before="21"/>
              <w:ind w:right="13"/>
              <w:jc w:val="right"/>
              <w:rPr>
                <w:sz w:val="20"/>
              </w:rPr>
            </w:pPr>
            <w:r>
              <w:rPr>
                <w:sz w:val="20"/>
              </w:rPr>
              <w:t>179.095,63</w:t>
            </w:r>
          </w:p>
        </w:tc>
      </w:tr>
      <w:tr>
        <w:trPr>
          <w:trHeight w:val="261" w:hRule="atLeast"/>
        </w:trPr>
        <w:tc>
          <w:tcPr>
            <w:tcW w:w="4532" w:type="dxa"/>
          </w:tcPr>
          <w:p>
            <w:pPr>
              <w:pStyle w:val="TableParagraph"/>
              <w:spacing w:line="220" w:lineRule="exact" w:before="21"/>
              <w:ind w:left="11"/>
              <w:rPr>
                <w:sz w:val="20"/>
              </w:rPr>
            </w:pPr>
            <w:r>
              <w:rPr>
                <w:sz w:val="20"/>
              </w:rPr>
              <w:t>IBIU - Impuesto Bienes Inmuebles Urbana</w:t>
            </w:r>
          </w:p>
        </w:tc>
        <w:tc>
          <w:tcPr>
            <w:tcW w:w="2410" w:type="dxa"/>
          </w:tcPr>
          <w:p>
            <w:pPr>
              <w:pStyle w:val="TableParagraph"/>
              <w:spacing w:line="220" w:lineRule="exact" w:before="21"/>
              <w:ind w:left="19" w:right="21"/>
              <w:jc w:val="center"/>
              <w:rPr>
                <w:sz w:val="20"/>
              </w:rPr>
            </w:pPr>
            <w:r>
              <w:rPr>
                <w:sz w:val="20"/>
              </w:rPr>
              <w:t>13.026</w:t>
            </w:r>
          </w:p>
        </w:tc>
        <w:tc>
          <w:tcPr>
            <w:tcW w:w="1561" w:type="dxa"/>
          </w:tcPr>
          <w:p>
            <w:pPr>
              <w:pStyle w:val="TableParagraph"/>
              <w:spacing w:line="220" w:lineRule="exact" w:before="21"/>
              <w:ind w:right="13"/>
              <w:jc w:val="right"/>
              <w:rPr>
                <w:sz w:val="20"/>
              </w:rPr>
            </w:pPr>
            <w:r>
              <w:rPr>
                <w:sz w:val="20"/>
              </w:rPr>
              <w:t>4.188.018,78</w:t>
            </w:r>
          </w:p>
        </w:tc>
      </w:tr>
      <w:tr>
        <w:trPr>
          <w:trHeight w:val="263" w:hRule="atLeast"/>
        </w:trPr>
        <w:tc>
          <w:tcPr>
            <w:tcW w:w="4532" w:type="dxa"/>
          </w:tcPr>
          <w:p>
            <w:pPr>
              <w:pStyle w:val="TableParagraph"/>
              <w:spacing w:line="223" w:lineRule="exact" w:before="21"/>
              <w:ind w:left="11"/>
              <w:rPr>
                <w:sz w:val="20"/>
              </w:rPr>
            </w:pPr>
            <w:r>
              <w:rPr>
                <w:sz w:val="20"/>
              </w:rPr>
              <w:t>IVTM - Impuesto Vehículos Tracción Mecánica</w:t>
            </w:r>
          </w:p>
        </w:tc>
        <w:tc>
          <w:tcPr>
            <w:tcW w:w="2410" w:type="dxa"/>
          </w:tcPr>
          <w:p>
            <w:pPr>
              <w:pStyle w:val="TableParagraph"/>
              <w:spacing w:line="223" w:lineRule="exact" w:before="21"/>
              <w:ind w:left="21" w:right="21"/>
              <w:jc w:val="center"/>
              <w:rPr>
                <w:sz w:val="20"/>
              </w:rPr>
            </w:pPr>
            <w:r>
              <w:rPr>
                <w:sz w:val="20"/>
              </w:rPr>
              <w:t>4.968</w:t>
            </w:r>
          </w:p>
        </w:tc>
        <w:tc>
          <w:tcPr>
            <w:tcW w:w="1561" w:type="dxa"/>
          </w:tcPr>
          <w:p>
            <w:pPr>
              <w:pStyle w:val="TableParagraph"/>
              <w:spacing w:line="223" w:lineRule="exact" w:before="21"/>
              <w:ind w:right="13"/>
              <w:jc w:val="right"/>
              <w:rPr>
                <w:sz w:val="20"/>
              </w:rPr>
            </w:pPr>
            <w:r>
              <w:rPr>
                <w:sz w:val="20"/>
              </w:rPr>
              <w:t>217.575,43</w:t>
            </w:r>
          </w:p>
        </w:tc>
      </w:tr>
      <w:tr>
        <w:trPr>
          <w:trHeight w:val="261" w:hRule="atLeast"/>
        </w:trPr>
        <w:tc>
          <w:tcPr>
            <w:tcW w:w="4532" w:type="dxa"/>
          </w:tcPr>
          <w:p>
            <w:pPr>
              <w:pStyle w:val="TableParagraph"/>
              <w:spacing w:line="220" w:lineRule="exact" w:before="21"/>
              <w:ind w:left="11"/>
              <w:rPr>
                <w:sz w:val="20"/>
              </w:rPr>
            </w:pPr>
            <w:r>
              <w:rPr>
                <w:sz w:val="20"/>
              </w:rPr>
              <w:t>Tasa de Basura Domiciliaria</w:t>
            </w:r>
          </w:p>
        </w:tc>
        <w:tc>
          <w:tcPr>
            <w:tcW w:w="2410" w:type="dxa"/>
          </w:tcPr>
          <w:p>
            <w:pPr>
              <w:pStyle w:val="TableParagraph"/>
              <w:spacing w:line="220" w:lineRule="exact" w:before="21"/>
              <w:ind w:left="19" w:right="21"/>
              <w:jc w:val="center"/>
              <w:rPr>
                <w:sz w:val="20"/>
              </w:rPr>
            </w:pPr>
            <w:r>
              <w:rPr>
                <w:sz w:val="20"/>
              </w:rPr>
              <w:t>5.735</w:t>
            </w:r>
          </w:p>
        </w:tc>
        <w:tc>
          <w:tcPr>
            <w:tcW w:w="1561" w:type="dxa"/>
          </w:tcPr>
          <w:p>
            <w:pPr>
              <w:pStyle w:val="TableParagraph"/>
              <w:spacing w:line="220" w:lineRule="exact" w:before="21"/>
              <w:ind w:right="16"/>
              <w:jc w:val="right"/>
              <w:rPr>
                <w:sz w:val="20"/>
              </w:rPr>
            </w:pPr>
            <w:r>
              <w:rPr>
                <w:sz w:val="20"/>
              </w:rPr>
              <w:t>245.256,75</w:t>
            </w:r>
          </w:p>
        </w:tc>
      </w:tr>
      <w:tr>
        <w:trPr>
          <w:trHeight w:val="261" w:hRule="atLeast"/>
        </w:trPr>
        <w:tc>
          <w:tcPr>
            <w:tcW w:w="4532" w:type="dxa"/>
          </w:tcPr>
          <w:p>
            <w:pPr>
              <w:pStyle w:val="TableParagraph"/>
              <w:spacing w:line="220" w:lineRule="exact" w:before="21"/>
              <w:ind w:left="11"/>
              <w:rPr>
                <w:sz w:val="20"/>
              </w:rPr>
            </w:pPr>
            <w:r>
              <w:rPr>
                <w:sz w:val="20"/>
              </w:rPr>
              <w:t>Tasa de Basura Industrial</w:t>
            </w:r>
          </w:p>
        </w:tc>
        <w:tc>
          <w:tcPr>
            <w:tcW w:w="2410" w:type="dxa"/>
          </w:tcPr>
          <w:p>
            <w:pPr>
              <w:pStyle w:val="TableParagraph"/>
              <w:spacing w:line="220" w:lineRule="exact" w:before="21"/>
              <w:ind w:left="21" w:right="21"/>
              <w:jc w:val="center"/>
              <w:rPr>
                <w:sz w:val="20"/>
              </w:rPr>
            </w:pPr>
            <w:r>
              <w:rPr>
                <w:sz w:val="20"/>
              </w:rPr>
              <w:t>6.142</w:t>
            </w:r>
          </w:p>
        </w:tc>
        <w:tc>
          <w:tcPr>
            <w:tcW w:w="1561" w:type="dxa"/>
          </w:tcPr>
          <w:p>
            <w:pPr>
              <w:pStyle w:val="TableParagraph"/>
              <w:spacing w:line="220" w:lineRule="exact" w:before="21"/>
              <w:ind w:right="13"/>
              <w:jc w:val="right"/>
              <w:rPr>
                <w:sz w:val="20"/>
              </w:rPr>
            </w:pPr>
            <w:r>
              <w:rPr>
                <w:sz w:val="20"/>
              </w:rPr>
              <w:t>1.067.805,55</w:t>
            </w:r>
          </w:p>
        </w:tc>
      </w:tr>
      <w:tr>
        <w:trPr>
          <w:trHeight w:val="261" w:hRule="atLeast"/>
        </w:trPr>
        <w:tc>
          <w:tcPr>
            <w:tcW w:w="4532" w:type="dxa"/>
          </w:tcPr>
          <w:p>
            <w:pPr>
              <w:pStyle w:val="TableParagraph"/>
              <w:spacing w:line="220" w:lineRule="exact" w:before="21"/>
              <w:ind w:left="11"/>
              <w:rPr>
                <w:sz w:val="20"/>
              </w:rPr>
            </w:pPr>
            <w:r>
              <w:rPr>
                <w:sz w:val="20"/>
              </w:rPr>
              <w:t>Tasa de Cajeros Automáticos</w:t>
            </w:r>
          </w:p>
        </w:tc>
        <w:tc>
          <w:tcPr>
            <w:tcW w:w="2410" w:type="dxa"/>
          </w:tcPr>
          <w:p>
            <w:pPr>
              <w:pStyle w:val="TableParagraph"/>
              <w:spacing w:line="220" w:lineRule="exact" w:before="21"/>
              <w:ind w:left="21" w:right="21"/>
              <w:jc w:val="center"/>
              <w:rPr>
                <w:sz w:val="20"/>
              </w:rPr>
            </w:pPr>
            <w:r>
              <w:rPr>
                <w:sz w:val="20"/>
              </w:rPr>
              <w:t>11</w:t>
            </w:r>
          </w:p>
        </w:tc>
        <w:tc>
          <w:tcPr>
            <w:tcW w:w="1561" w:type="dxa"/>
          </w:tcPr>
          <w:p>
            <w:pPr>
              <w:pStyle w:val="TableParagraph"/>
              <w:spacing w:line="220" w:lineRule="exact" w:before="21"/>
              <w:ind w:right="12"/>
              <w:jc w:val="right"/>
              <w:rPr>
                <w:sz w:val="20"/>
              </w:rPr>
            </w:pPr>
            <w:r>
              <w:rPr>
                <w:w w:val="95"/>
                <w:sz w:val="20"/>
              </w:rPr>
              <w:t>3.116,00</w:t>
            </w:r>
          </w:p>
        </w:tc>
      </w:tr>
    </w:tbl>
    <w:p>
      <w:pPr>
        <w:pStyle w:val="BodyText"/>
        <w:rPr>
          <w:rFonts w:ascii="Arial"/>
          <w:b/>
          <w:sz w:val="22"/>
        </w:rPr>
      </w:pPr>
    </w:p>
    <w:p>
      <w:pPr>
        <w:pStyle w:val="BodyText"/>
        <w:rPr>
          <w:rFonts w:ascii="Arial"/>
          <w:b/>
          <w:sz w:val="18"/>
        </w:rPr>
      </w:pPr>
    </w:p>
    <w:p>
      <w:pPr>
        <w:spacing w:before="0"/>
        <w:ind w:left="410" w:right="275" w:firstLine="0"/>
        <w:jc w:val="center"/>
        <w:rPr>
          <w:rFonts w:ascii="Arial" w:hAnsi="Arial"/>
          <w:b/>
          <w:sz w:val="20"/>
        </w:rPr>
      </w:pPr>
      <w:r>
        <w:rPr>
          <w:rFonts w:ascii="Arial" w:hAnsi="Arial"/>
          <w:b/>
          <w:sz w:val="20"/>
          <w:u w:val="thick"/>
        </w:rPr>
        <w:t>RECAUDACIÓN EJECUTIVA</w:t>
      </w:r>
    </w:p>
    <w:p>
      <w:pPr>
        <w:pStyle w:val="BodyText"/>
        <w:rPr>
          <w:rFonts w:ascii="Arial"/>
          <w:b/>
          <w:sz w:val="12"/>
        </w:rPr>
      </w:pPr>
    </w:p>
    <w:p>
      <w:pPr>
        <w:spacing w:before="93"/>
        <w:ind w:left="402" w:right="0" w:firstLine="0"/>
        <w:jc w:val="left"/>
        <w:rPr>
          <w:rFonts w:ascii="Arial" w:hAnsi="Arial"/>
          <w:b/>
          <w:sz w:val="20"/>
        </w:rPr>
      </w:pPr>
      <w:r>
        <w:rPr>
          <w:rFonts w:ascii="Arial" w:hAnsi="Arial"/>
          <w:b/>
          <w:sz w:val="20"/>
        </w:rPr>
        <w:t>Total recaudado en período ejecutivo:</w:t>
      </w:r>
    </w:p>
    <w:p>
      <w:pPr>
        <w:pStyle w:val="BodyText"/>
        <w:spacing w:before="10"/>
        <w:rPr>
          <w:rFonts w:ascii="Arial"/>
          <w:b/>
          <w:sz w:val="19"/>
        </w:rPr>
      </w:pPr>
    </w:p>
    <w:tbl>
      <w:tblPr>
        <w:tblW w:w="0" w:type="auto"/>
        <w:jc w:val="left"/>
        <w:tblInd w:w="5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136"/>
        <w:gridCol w:w="1544"/>
      </w:tblGrid>
      <w:tr>
        <w:trPr>
          <w:trHeight w:val="319" w:hRule="atLeast"/>
        </w:trPr>
        <w:tc>
          <w:tcPr>
            <w:tcW w:w="4136" w:type="dxa"/>
          </w:tcPr>
          <w:p>
            <w:pPr>
              <w:pStyle w:val="TableParagraph"/>
              <w:spacing w:line="240" w:lineRule="auto" w:before="18"/>
              <w:ind w:left="14"/>
              <w:rPr>
                <w:sz w:val="20"/>
              </w:rPr>
            </w:pPr>
            <w:r>
              <w:rPr>
                <w:sz w:val="20"/>
              </w:rPr>
              <w:t>Importe Principal</w:t>
            </w:r>
          </w:p>
        </w:tc>
        <w:tc>
          <w:tcPr>
            <w:tcW w:w="1544" w:type="dxa"/>
          </w:tcPr>
          <w:p>
            <w:pPr>
              <w:pStyle w:val="TableParagraph"/>
              <w:spacing w:line="240" w:lineRule="auto" w:before="18"/>
              <w:ind w:right="13"/>
              <w:jc w:val="right"/>
              <w:rPr>
                <w:sz w:val="20"/>
              </w:rPr>
            </w:pPr>
            <w:r>
              <w:rPr>
                <w:sz w:val="20"/>
              </w:rPr>
              <w:t>1.668.98.,97 €</w:t>
            </w:r>
          </w:p>
        </w:tc>
      </w:tr>
      <w:tr>
        <w:trPr>
          <w:trHeight w:val="318" w:hRule="atLeast"/>
        </w:trPr>
        <w:tc>
          <w:tcPr>
            <w:tcW w:w="4136" w:type="dxa"/>
          </w:tcPr>
          <w:p>
            <w:pPr>
              <w:pStyle w:val="TableParagraph"/>
              <w:spacing w:line="240" w:lineRule="auto" w:before="18"/>
              <w:ind w:left="14"/>
              <w:rPr>
                <w:sz w:val="20"/>
              </w:rPr>
            </w:pPr>
            <w:r>
              <w:rPr>
                <w:sz w:val="20"/>
              </w:rPr>
              <w:t>Recargo</w:t>
            </w:r>
          </w:p>
        </w:tc>
        <w:tc>
          <w:tcPr>
            <w:tcW w:w="1544" w:type="dxa"/>
          </w:tcPr>
          <w:p>
            <w:pPr>
              <w:pStyle w:val="TableParagraph"/>
              <w:spacing w:line="240" w:lineRule="auto" w:before="18"/>
              <w:ind w:right="9"/>
              <w:jc w:val="right"/>
              <w:rPr>
                <w:sz w:val="20"/>
              </w:rPr>
            </w:pPr>
            <w:r>
              <w:rPr>
                <w:sz w:val="20"/>
              </w:rPr>
              <w:t>225.017,33 €</w:t>
            </w:r>
          </w:p>
        </w:tc>
      </w:tr>
      <w:tr>
        <w:trPr>
          <w:trHeight w:val="319" w:hRule="atLeast"/>
        </w:trPr>
        <w:tc>
          <w:tcPr>
            <w:tcW w:w="4136" w:type="dxa"/>
          </w:tcPr>
          <w:p>
            <w:pPr>
              <w:pStyle w:val="TableParagraph"/>
              <w:spacing w:line="240" w:lineRule="auto" w:before="18"/>
              <w:ind w:left="14"/>
              <w:rPr>
                <w:sz w:val="20"/>
              </w:rPr>
            </w:pPr>
            <w:r>
              <w:rPr>
                <w:sz w:val="20"/>
              </w:rPr>
              <w:t>Intereses</w:t>
            </w:r>
          </w:p>
        </w:tc>
        <w:tc>
          <w:tcPr>
            <w:tcW w:w="1544" w:type="dxa"/>
          </w:tcPr>
          <w:p>
            <w:pPr>
              <w:pStyle w:val="TableParagraph"/>
              <w:spacing w:line="240" w:lineRule="auto" w:before="18"/>
              <w:ind w:right="11"/>
              <w:jc w:val="right"/>
              <w:rPr>
                <w:sz w:val="20"/>
              </w:rPr>
            </w:pPr>
            <w:r>
              <w:rPr>
                <w:sz w:val="20"/>
              </w:rPr>
              <w:t>123.089,67 €</w:t>
            </w:r>
          </w:p>
        </w:tc>
      </w:tr>
      <w:tr>
        <w:trPr>
          <w:trHeight w:val="319" w:hRule="atLeast"/>
        </w:trPr>
        <w:tc>
          <w:tcPr>
            <w:tcW w:w="4136" w:type="dxa"/>
          </w:tcPr>
          <w:p>
            <w:pPr>
              <w:pStyle w:val="TableParagraph"/>
              <w:spacing w:line="240" w:lineRule="auto" w:before="18"/>
              <w:ind w:left="14"/>
              <w:rPr>
                <w:sz w:val="20"/>
              </w:rPr>
            </w:pPr>
            <w:r>
              <w:rPr>
                <w:sz w:val="20"/>
              </w:rPr>
              <w:t>Costas</w:t>
            </w:r>
          </w:p>
        </w:tc>
        <w:tc>
          <w:tcPr>
            <w:tcW w:w="1544" w:type="dxa"/>
          </w:tcPr>
          <w:p>
            <w:pPr>
              <w:pStyle w:val="TableParagraph"/>
              <w:spacing w:line="240" w:lineRule="auto" w:before="18"/>
              <w:ind w:right="8"/>
              <w:jc w:val="right"/>
              <w:rPr>
                <w:sz w:val="20"/>
              </w:rPr>
            </w:pPr>
            <w:r>
              <w:rPr>
                <w:sz w:val="20"/>
              </w:rPr>
              <w:t>44.903,07 €</w:t>
            </w:r>
          </w:p>
        </w:tc>
      </w:tr>
      <w:tr>
        <w:trPr>
          <w:trHeight w:val="319" w:hRule="atLeast"/>
        </w:trPr>
        <w:tc>
          <w:tcPr>
            <w:tcW w:w="4136" w:type="dxa"/>
          </w:tcPr>
          <w:p>
            <w:pPr>
              <w:pStyle w:val="TableParagraph"/>
              <w:spacing w:line="240" w:lineRule="auto" w:before="18"/>
              <w:ind w:left="14"/>
              <w:rPr>
                <w:sz w:val="20"/>
              </w:rPr>
            </w:pPr>
            <w:r>
              <w:rPr>
                <w:sz w:val="20"/>
              </w:rPr>
              <w:t>Importe Total Recaudado Ejecutiva</w:t>
            </w:r>
          </w:p>
        </w:tc>
        <w:tc>
          <w:tcPr>
            <w:tcW w:w="1544" w:type="dxa"/>
          </w:tcPr>
          <w:p>
            <w:pPr>
              <w:pStyle w:val="TableParagraph"/>
              <w:spacing w:line="240" w:lineRule="auto" w:before="18"/>
              <w:ind w:right="8"/>
              <w:jc w:val="right"/>
              <w:rPr>
                <w:sz w:val="20"/>
              </w:rPr>
            </w:pPr>
            <w:r>
              <w:rPr>
                <w:sz w:val="20"/>
              </w:rPr>
              <w:t>2.061.985,14 €</w:t>
            </w:r>
          </w:p>
        </w:tc>
      </w:tr>
    </w:tbl>
    <w:p>
      <w:pPr>
        <w:pStyle w:val="BodyText"/>
        <w:rPr>
          <w:rFonts w:ascii="Arial"/>
          <w:b/>
          <w:sz w:val="20"/>
        </w:rPr>
      </w:pPr>
    </w:p>
    <w:p>
      <w:pPr>
        <w:spacing w:before="0"/>
        <w:ind w:left="402" w:right="0" w:firstLine="0"/>
        <w:jc w:val="left"/>
        <w:rPr>
          <w:rFonts w:ascii="Arial" w:hAnsi="Arial"/>
          <w:sz w:val="20"/>
        </w:rPr>
      </w:pPr>
      <w:r>
        <w:rPr>
          <w:rFonts w:ascii="Arial" w:hAnsi="Arial"/>
          <w:b/>
          <w:sz w:val="20"/>
        </w:rPr>
        <w:t>Nº providencias de apremio</w:t>
      </w:r>
      <w:r>
        <w:rPr>
          <w:rFonts w:ascii="Arial" w:hAnsi="Arial"/>
          <w:sz w:val="20"/>
        </w:rPr>
        <w:t>: 7571</w:t>
      </w:r>
    </w:p>
    <w:p>
      <w:pPr>
        <w:spacing w:before="0"/>
        <w:ind w:left="402" w:right="0" w:firstLine="0"/>
        <w:jc w:val="left"/>
        <w:rPr>
          <w:rFonts w:ascii="Arial" w:hAnsi="Arial"/>
          <w:sz w:val="20"/>
        </w:rPr>
      </w:pPr>
      <w:r>
        <w:rPr>
          <w:rFonts w:ascii="Arial" w:hAnsi="Arial"/>
          <w:b/>
          <w:sz w:val="20"/>
        </w:rPr>
        <w:t>Nº diligencias de embargo emitidas</w:t>
      </w:r>
      <w:r>
        <w:rPr>
          <w:rFonts w:ascii="Arial" w:hAnsi="Arial"/>
          <w:sz w:val="20"/>
        </w:rPr>
        <w:t>: 713</w:t>
      </w:r>
    </w:p>
    <w:p>
      <w:pPr>
        <w:pStyle w:val="BodyText"/>
        <w:spacing w:before="1"/>
        <w:rPr>
          <w:rFonts w:ascii="Arial"/>
          <w:sz w:val="20"/>
        </w:rPr>
      </w:pPr>
    </w:p>
    <w:p>
      <w:pPr>
        <w:spacing w:before="0"/>
        <w:ind w:left="410" w:right="271" w:firstLine="0"/>
        <w:jc w:val="center"/>
        <w:rPr>
          <w:rFonts w:ascii="Arial"/>
          <w:b/>
          <w:sz w:val="20"/>
        </w:rPr>
      </w:pPr>
      <w:r>
        <w:rPr>
          <w:rFonts w:ascii="Arial"/>
          <w:b/>
          <w:sz w:val="20"/>
          <w:u w:val="thick"/>
        </w:rPr>
        <w:t>OTROS DATOS</w:t>
      </w:r>
    </w:p>
    <w:p>
      <w:pPr>
        <w:pStyle w:val="BodyText"/>
        <w:spacing w:before="9"/>
        <w:rPr>
          <w:rFonts w:ascii="Arial"/>
          <w:b/>
          <w:sz w:val="11"/>
        </w:rPr>
      </w:pPr>
    </w:p>
    <w:p>
      <w:pPr>
        <w:spacing w:before="93"/>
        <w:ind w:left="402" w:right="0" w:firstLine="0"/>
        <w:jc w:val="left"/>
        <w:rPr>
          <w:rFonts w:ascii="Arial" w:hAnsi="Arial"/>
          <w:sz w:val="20"/>
        </w:rPr>
      </w:pPr>
      <w:r>
        <w:rPr>
          <w:rFonts w:ascii="Arial" w:hAnsi="Arial"/>
          <w:b/>
          <w:sz w:val="20"/>
        </w:rPr>
        <w:t>Nº de autoliquidaciones asistidas al contribuyente</w:t>
      </w:r>
      <w:r>
        <w:rPr>
          <w:rFonts w:ascii="Arial" w:hAnsi="Arial"/>
          <w:sz w:val="20"/>
        </w:rPr>
        <w:t>: 5189</w:t>
      </w:r>
    </w:p>
    <w:p>
      <w:pPr>
        <w:spacing w:before="0"/>
        <w:ind w:left="402" w:right="0" w:firstLine="0"/>
        <w:jc w:val="left"/>
        <w:rPr>
          <w:rFonts w:ascii="Arial" w:hAnsi="Arial"/>
          <w:sz w:val="20"/>
        </w:rPr>
      </w:pPr>
      <w:r>
        <w:rPr>
          <w:rFonts w:ascii="Arial" w:hAnsi="Arial"/>
          <w:b/>
          <w:sz w:val="20"/>
        </w:rPr>
        <w:t>Nº de consultas realizadas PIC</w:t>
      </w:r>
      <w:r>
        <w:rPr>
          <w:rFonts w:ascii="Arial" w:hAnsi="Arial"/>
          <w:sz w:val="20"/>
        </w:rPr>
        <w:t>: 13</w:t>
      </w:r>
    </w:p>
    <w:p>
      <w:pPr>
        <w:spacing w:before="1"/>
        <w:ind w:left="402" w:right="0" w:firstLine="0"/>
        <w:jc w:val="left"/>
        <w:rPr>
          <w:rFonts w:ascii="Arial" w:hAnsi="Arial"/>
          <w:sz w:val="20"/>
        </w:rPr>
      </w:pPr>
      <w:r>
        <w:rPr>
          <w:rFonts w:ascii="Arial" w:hAnsi="Arial"/>
          <w:b/>
          <w:sz w:val="20"/>
        </w:rPr>
        <w:t>Nº de certificaciones emitidas PIC</w:t>
      </w:r>
      <w:r>
        <w:rPr>
          <w:rFonts w:ascii="Arial" w:hAnsi="Arial"/>
          <w:sz w:val="20"/>
        </w:rPr>
        <w:t>: 18</w:t>
      </w:r>
    </w:p>
    <w:p>
      <w:pPr>
        <w:pStyle w:val="BodyText"/>
        <w:rPr>
          <w:rFonts w:ascii="Arial"/>
          <w:sz w:val="22"/>
        </w:rPr>
      </w:pPr>
    </w:p>
    <w:p>
      <w:pPr>
        <w:pStyle w:val="BodyText"/>
        <w:rPr>
          <w:rFonts w:ascii="Arial"/>
          <w:sz w:val="22"/>
        </w:rPr>
      </w:pPr>
    </w:p>
    <w:p>
      <w:pPr>
        <w:spacing w:before="183"/>
        <w:ind w:left="402" w:right="198" w:firstLine="0"/>
        <w:jc w:val="left"/>
        <w:rPr>
          <w:rFonts w:ascii="Arial" w:hAnsi="Arial"/>
          <w:sz w:val="20"/>
        </w:rPr>
      </w:pPr>
      <w:r>
        <w:rPr>
          <w:rFonts w:ascii="Arial" w:hAnsi="Arial"/>
          <w:sz w:val="20"/>
        </w:rPr>
        <w:t>Por otro lado, indicar que, según los datos que se extraen del gestor electrónico de expedientes, se han incoado los siguientes expedientes para las tipologías que se relacionan:</w:t>
      </w:r>
    </w:p>
    <w:p>
      <w:pPr>
        <w:pStyle w:val="BodyText"/>
        <w:spacing w:before="1" w:after="1"/>
        <w:rPr>
          <w:rFonts w:ascii="Arial"/>
          <w:sz w:val="20"/>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6"/>
        <w:gridCol w:w="1558"/>
        <w:gridCol w:w="1412"/>
      </w:tblGrid>
      <w:tr>
        <w:trPr>
          <w:trHeight w:val="230" w:hRule="atLeast"/>
        </w:trPr>
        <w:tc>
          <w:tcPr>
            <w:tcW w:w="5526" w:type="dxa"/>
            <w:vMerge w:val="restart"/>
          </w:tcPr>
          <w:p>
            <w:pPr>
              <w:pStyle w:val="TableParagraph"/>
              <w:spacing w:line="240" w:lineRule="auto" w:before="5"/>
              <w:rPr>
                <w:sz w:val="30"/>
              </w:rPr>
            </w:pPr>
          </w:p>
          <w:p>
            <w:pPr>
              <w:pStyle w:val="TableParagraph"/>
              <w:spacing w:line="240" w:lineRule="auto"/>
              <w:ind w:left="1833" w:right="1831"/>
              <w:jc w:val="center"/>
              <w:rPr>
                <w:b/>
                <w:sz w:val="20"/>
              </w:rPr>
            </w:pPr>
            <w:r>
              <w:rPr>
                <w:b/>
                <w:sz w:val="20"/>
              </w:rPr>
              <w:t>Tipo de expediente</w:t>
            </w:r>
          </w:p>
        </w:tc>
        <w:tc>
          <w:tcPr>
            <w:tcW w:w="2970" w:type="dxa"/>
            <w:gridSpan w:val="2"/>
          </w:tcPr>
          <w:p>
            <w:pPr>
              <w:pStyle w:val="TableParagraph"/>
              <w:ind w:left="424"/>
              <w:rPr>
                <w:b/>
                <w:sz w:val="20"/>
              </w:rPr>
            </w:pPr>
            <w:r>
              <w:rPr>
                <w:b/>
                <w:sz w:val="20"/>
              </w:rPr>
              <w:t>Expedientes incoados</w:t>
            </w:r>
          </w:p>
        </w:tc>
      </w:tr>
      <w:tr>
        <w:trPr>
          <w:trHeight w:val="691" w:hRule="atLeast"/>
        </w:trPr>
        <w:tc>
          <w:tcPr>
            <w:tcW w:w="5526" w:type="dxa"/>
            <w:vMerge/>
            <w:tcBorders>
              <w:top w:val="nil"/>
            </w:tcBorders>
          </w:tcPr>
          <w:p>
            <w:pPr>
              <w:rPr>
                <w:sz w:val="2"/>
                <w:szCs w:val="2"/>
              </w:rPr>
            </w:pPr>
          </w:p>
        </w:tc>
        <w:tc>
          <w:tcPr>
            <w:tcW w:w="1558" w:type="dxa"/>
          </w:tcPr>
          <w:p>
            <w:pPr>
              <w:pStyle w:val="TableParagraph"/>
              <w:spacing w:line="230" w:lineRule="exact" w:before="3"/>
              <w:ind w:left="247" w:right="241"/>
              <w:jc w:val="center"/>
              <w:rPr>
                <w:b/>
                <w:sz w:val="20"/>
              </w:rPr>
            </w:pPr>
            <w:r>
              <w:rPr>
                <w:b/>
                <w:sz w:val="20"/>
              </w:rPr>
              <w:t>A solicitud del  Interesado</w:t>
            </w:r>
          </w:p>
        </w:tc>
        <w:tc>
          <w:tcPr>
            <w:tcW w:w="1412" w:type="dxa"/>
          </w:tcPr>
          <w:p>
            <w:pPr>
              <w:pStyle w:val="TableParagraph"/>
              <w:spacing w:line="240" w:lineRule="auto"/>
              <w:rPr>
                <w:sz w:val="20"/>
              </w:rPr>
            </w:pPr>
          </w:p>
          <w:p>
            <w:pPr>
              <w:pStyle w:val="TableParagraph"/>
              <w:spacing w:line="240" w:lineRule="auto"/>
              <w:ind w:left="260" w:right="256"/>
              <w:jc w:val="center"/>
              <w:rPr>
                <w:b/>
                <w:sz w:val="20"/>
              </w:rPr>
            </w:pPr>
            <w:r>
              <w:rPr>
                <w:b/>
                <w:sz w:val="20"/>
              </w:rPr>
              <w:t>De oficio</w:t>
            </w:r>
          </w:p>
        </w:tc>
      </w:tr>
      <w:tr>
        <w:trPr>
          <w:trHeight w:val="225" w:hRule="atLeast"/>
        </w:trPr>
        <w:tc>
          <w:tcPr>
            <w:tcW w:w="5526" w:type="dxa"/>
          </w:tcPr>
          <w:p>
            <w:pPr>
              <w:pStyle w:val="TableParagraph"/>
              <w:spacing w:line="206" w:lineRule="exact"/>
              <w:ind w:left="107"/>
              <w:rPr>
                <w:sz w:val="20"/>
              </w:rPr>
            </w:pPr>
            <w:r>
              <w:rPr>
                <w:sz w:val="20"/>
              </w:rPr>
              <w:t>Actas de arqueo</w:t>
            </w:r>
          </w:p>
        </w:tc>
        <w:tc>
          <w:tcPr>
            <w:tcW w:w="1558" w:type="dxa"/>
          </w:tcPr>
          <w:p>
            <w:pPr>
              <w:pStyle w:val="TableParagraph"/>
              <w:spacing w:line="206" w:lineRule="exact"/>
              <w:ind w:left="5"/>
              <w:jc w:val="center"/>
              <w:rPr>
                <w:sz w:val="20"/>
              </w:rPr>
            </w:pPr>
            <w:r>
              <w:rPr>
                <w:w w:val="99"/>
                <w:sz w:val="20"/>
              </w:rPr>
              <w:t>-</w:t>
            </w:r>
          </w:p>
        </w:tc>
        <w:tc>
          <w:tcPr>
            <w:tcW w:w="1412" w:type="dxa"/>
          </w:tcPr>
          <w:p>
            <w:pPr>
              <w:pStyle w:val="TableParagraph"/>
              <w:spacing w:line="206" w:lineRule="exact"/>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Alta o modificación de datos de Padrón Fiscal</w:t>
            </w:r>
          </w:p>
        </w:tc>
        <w:tc>
          <w:tcPr>
            <w:tcW w:w="1558" w:type="dxa"/>
          </w:tcPr>
          <w:p>
            <w:pPr>
              <w:pStyle w:val="TableParagraph"/>
              <w:ind w:left="6"/>
              <w:jc w:val="center"/>
              <w:rPr>
                <w:sz w:val="20"/>
              </w:rPr>
            </w:pPr>
            <w:r>
              <w:rPr>
                <w:w w:val="99"/>
                <w:sz w:val="20"/>
              </w:rPr>
              <w:t>2</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Anulación de Liquidaciones</w:t>
            </w:r>
          </w:p>
        </w:tc>
        <w:tc>
          <w:tcPr>
            <w:tcW w:w="1558" w:type="dxa"/>
          </w:tcPr>
          <w:p>
            <w:pPr>
              <w:pStyle w:val="TableParagraph"/>
              <w:ind w:left="242" w:right="241"/>
              <w:jc w:val="center"/>
              <w:rPr>
                <w:sz w:val="20"/>
              </w:rPr>
            </w:pPr>
            <w:r>
              <w:rPr>
                <w:sz w:val="20"/>
              </w:rPr>
              <w:t>150</w:t>
            </w:r>
          </w:p>
        </w:tc>
        <w:tc>
          <w:tcPr>
            <w:tcW w:w="1412" w:type="dxa"/>
          </w:tcPr>
          <w:p>
            <w:pPr>
              <w:pStyle w:val="TableParagraph"/>
              <w:ind w:left="259" w:right="256"/>
              <w:jc w:val="center"/>
              <w:rPr>
                <w:sz w:val="20"/>
              </w:rPr>
            </w:pPr>
            <w:r>
              <w:rPr>
                <w:sz w:val="20"/>
              </w:rPr>
              <w:t>77</w:t>
            </w:r>
          </w:p>
        </w:tc>
      </w:tr>
      <w:tr>
        <w:trPr>
          <w:trHeight w:val="230" w:hRule="atLeast"/>
        </w:trPr>
        <w:tc>
          <w:tcPr>
            <w:tcW w:w="5526" w:type="dxa"/>
          </w:tcPr>
          <w:p>
            <w:pPr>
              <w:pStyle w:val="TableParagraph"/>
              <w:ind w:left="107"/>
              <w:rPr>
                <w:sz w:val="20"/>
              </w:rPr>
            </w:pPr>
            <w:r>
              <w:rPr>
                <w:sz w:val="20"/>
              </w:rPr>
              <w:t>Aplazamientos/fraccionamientos</w:t>
            </w:r>
          </w:p>
        </w:tc>
        <w:tc>
          <w:tcPr>
            <w:tcW w:w="1558" w:type="dxa"/>
          </w:tcPr>
          <w:p>
            <w:pPr>
              <w:pStyle w:val="TableParagraph"/>
              <w:ind w:left="242" w:right="241"/>
              <w:jc w:val="center"/>
              <w:rPr>
                <w:sz w:val="20"/>
              </w:rPr>
            </w:pPr>
            <w:r>
              <w:rPr>
                <w:sz w:val="20"/>
              </w:rPr>
              <w:t>51</w:t>
            </w:r>
          </w:p>
        </w:tc>
        <w:tc>
          <w:tcPr>
            <w:tcW w:w="1412" w:type="dxa"/>
          </w:tcPr>
          <w:p>
            <w:pPr>
              <w:pStyle w:val="TableParagraph"/>
              <w:ind w:left="7"/>
              <w:jc w:val="center"/>
              <w:rPr>
                <w:sz w:val="20"/>
              </w:rPr>
            </w:pPr>
            <w:r>
              <w:rPr>
                <w:w w:val="99"/>
                <w:sz w:val="20"/>
              </w:rPr>
              <w:t>-</w:t>
            </w:r>
          </w:p>
        </w:tc>
      </w:tr>
      <w:tr>
        <w:trPr>
          <w:trHeight w:val="229" w:hRule="atLeast"/>
        </w:trPr>
        <w:tc>
          <w:tcPr>
            <w:tcW w:w="5526" w:type="dxa"/>
          </w:tcPr>
          <w:p>
            <w:pPr>
              <w:pStyle w:val="TableParagraph"/>
              <w:ind w:left="107"/>
              <w:rPr>
                <w:sz w:val="20"/>
              </w:rPr>
            </w:pPr>
            <w:r>
              <w:rPr>
                <w:sz w:val="20"/>
              </w:rPr>
              <w:t>Bastanteos avales contratación</w:t>
            </w:r>
          </w:p>
        </w:tc>
        <w:tc>
          <w:tcPr>
            <w:tcW w:w="1558" w:type="dxa"/>
          </w:tcPr>
          <w:p>
            <w:pPr>
              <w:pStyle w:val="TableParagraph"/>
              <w:ind w:left="6"/>
              <w:jc w:val="center"/>
              <w:rPr>
                <w:sz w:val="20"/>
              </w:rPr>
            </w:pPr>
            <w:r>
              <w:rPr>
                <w:w w:val="99"/>
                <w:sz w:val="20"/>
              </w:rPr>
              <w:t>1</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Aprobación de Padrones</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2</w:t>
            </w:r>
          </w:p>
        </w:tc>
      </w:tr>
      <w:tr>
        <w:trPr>
          <w:trHeight w:val="232" w:hRule="atLeast"/>
        </w:trPr>
        <w:tc>
          <w:tcPr>
            <w:tcW w:w="5526" w:type="dxa"/>
          </w:tcPr>
          <w:p>
            <w:pPr>
              <w:pStyle w:val="TableParagraph"/>
              <w:spacing w:line="212" w:lineRule="exact"/>
              <w:ind w:left="107"/>
              <w:rPr>
                <w:sz w:val="20"/>
              </w:rPr>
            </w:pPr>
            <w:r>
              <w:rPr>
                <w:sz w:val="20"/>
              </w:rPr>
              <w:t>Aprobación o modificación de las ordenanzas fiscales</w:t>
            </w:r>
          </w:p>
        </w:tc>
        <w:tc>
          <w:tcPr>
            <w:tcW w:w="1558" w:type="dxa"/>
          </w:tcPr>
          <w:p>
            <w:pPr>
              <w:pStyle w:val="TableParagraph"/>
              <w:spacing w:line="212" w:lineRule="exact"/>
              <w:ind w:left="5"/>
              <w:jc w:val="center"/>
              <w:rPr>
                <w:sz w:val="20"/>
              </w:rPr>
            </w:pPr>
            <w:r>
              <w:rPr>
                <w:w w:val="99"/>
                <w:sz w:val="20"/>
              </w:rPr>
              <w:t>-</w:t>
            </w:r>
          </w:p>
        </w:tc>
        <w:tc>
          <w:tcPr>
            <w:tcW w:w="1412" w:type="dxa"/>
          </w:tcPr>
          <w:p>
            <w:pPr>
              <w:pStyle w:val="TableParagraph"/>
              <w:spacing w:line="212" w:lineRule="exact"/>
              <w:ind w:left="9"/>
              <w:jc w:val="center"/>
              <w:rPr>
                <w:sz w:val="20"/>
              </w:rPr>
            </w:pPr>
            <w:r>
              <w:rPr>
                <w:w w:val="99"/>
                <w:sz w:val="20"/>
              </w:rPr>
              <w:t>1</w:t>
            </w:r>
          </w:p>
        </w:tc>
      </w:tr>
    </w:tbl>
    <w:p>
      <w:pPr>
        <w:spacing w:after="0" w:line="212" w:lineRule="exact"/>
        <w:jc w:val="center"/>
        <w:rPr>
          <w:sz w:val="20"/>
        </w:rPr>
        <w:sectPr>
          <w:pgSz w:w="11910" w:h="16840"/>
          <w:pgMar w:header="1217" w:footer="0" w:top="2740" w:bottom="280" w:left="1300" w:right="1440"/>
        </w:sectPr>
      </w:pPr>
    </w:p>
    <w:p>
      <w:pPr>
        <w:pStyle w:val="BodyText"/>
        <w:rPr>
          <w:rFonts w:ascii="Arial"/>
          <w:sz w:val="20"/>
        </w:rPr>
      </w:pPr>
    </w:p>
    <w:p>
      <w:pPr>
        <w:pStyle w:val="BodyText"/>
        <w:spacing w:before="1" w:after="1"/>
        <w:rPr>
          <w:rFonts w:ascii="Arial"/>
          <w:sz w:val="27"/>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6"/>
        <w:gridCol w:w="1558"/>
        <w:gridCol w:w="1412"/>
      </w:tblGrid>
      <w:tr>
        <w:trPr>
          <w:trHeight w:val="230" w:hRule="atLeast"/>
        </w:trPr>
        <w:tc>
          <w:tcPr>
            <w:tcW w:w="5526" w:type="dxa"/>
          </w:tcPr>
          <w:p>
            <w:pPr>
              <w:pStyle w:val="TableParagraph"/>
              <w:ind w:left="107"/>
              <w:rPr>
                <w:sz w:val="20"/>
              </w:rPr>
            </w:pPr>
            <w:r>
              <w:rPr>
                <w:sz w:val="20"/>
              </w:rPr>
              <w:t>Beneficios fiscales</w:t>
            </w:r>
          </w:p>
        </w:tc>
        <w:tc>
          <w:tcPr>
            <w:tcW w:w="1558" w:type="dxa"/>
          </w:tcPr>
          <w:p>
            <w:pPr>
              <w:pStyle w:val="TableParagraph"/>
              <w:ind w:left="242" w:right="241"/>
              <w:jc w:val="center"/>
              <w:rPr>
                <w:sz w:val="20"/>
              </w:rPr>
            </w:pPr>
            <w:r>
              <w:rPr>
                <w:sz w:val="20"/>
              </w:rPr>
              <w:t>217</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Certificados de estar al corriente de obligaciones tributarias</w:t>
            </w:r>
          </w:p>
        </w:tc>
        <w:tc>
          <w:tcPr>
            <w:tcW w:w="1558" w:type="dxa"/>
          </w:tcPr>
          <w:p>
            <w:pPr>
              <w:pStyle w:val="TableParagraph"/>
              <w:ind w:left="242" w:right="241"/>
              <w:jc w:val="center"/>
              <w:rPr>
                <w:sz w:val="20"/>
              </w:rPr>
            </w:pPr>
            <w:r>
              <w:rPr>
                <w:sz w:val="20"/>
              </w:rPr>
              <w:t>85</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Certificados de signos externos</w:t>
            </w:r>
          </w:p>
        </w:tc>
        <w:tc>
          <w:tcPr>
            <w:tcW w:w="1558" w:type="dxa"/>
          </w:tcPr>
          <w:p>
            <w:pPr>
              <w:pStyle w:val="TableParagraph"/>
              <w:ind w:left="242" w:right="241"/>
              <w:jc w:val="center"/>
              <w:rPr>
                <w:sz w:val="20"/>
              </w:rPr>
            </w:pPr>
            <w:r>
              <w:rPr>
                <w:sz w:val="20"/>
              </w:rPr>
              <w:t>81</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Certificados de Secretaria</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1</w:t>
            </w:r>
          </w:p>
        </w:tc>
      </w:tr>
      <w:tr>
        <w:trPr>
          <w:trHeight w:val="230" w:hRule="atLeast"/>
        </w:trPr>
        <w:tc>
          <w:tcPr>
            <w:tcW w:w="5526" w:type="dxa"/>
          </w:tcPr>
          <w:p>
            <w:pPr>
              <w:pStyle w:val="TableParagraph"/>
              <w:ind w:left="107"/>
              <w:rPr>
                <w:sz w:val="20"/>
              </w:rPr>
            </w:pPr>
            <w:r>
              <w:rPr>
                <w:sz w:val="20"/>
              </w:rPr>
              <w:t>Compensación de deuda</w:t>
            </w:r>
          </w:p>
        </w:tc>
        <w:tc>
          <w:tcPr>
            <w:tcW w:w="1558" w:type="dxa"/>
          </w:tcPr>
          <w:p>
            <w:pPr>
              <w:pStyle w:val="TableParagraph"/>
              <w:ind w:left="6"/>
              <w:jc w:val="center"/>
              <w:rPr>
                <w:sz w:val="20"/>
              </w:rPr>
            </w:pPr>
            <w:r>
              <w:rPr>
                <w:w w:val="99"/>
                <w:sz w:val="20"/>
              </w:rPr>
              <w:t>1</w:t>
            </w:r>
          </w:p>
        </w:tc>
        <w:tc>
          <w:tcPr>
            <w:tcW w:w="1412" w:type="dxa"/>
          </w:tcPr>
          <w:p>
            <w:pPr>
              <w:pStyle w:val="TableParagraph"/>
              <w:ind w:left="259" w:right="256"/>
              <w:jc w:val="center"/>
              <w:rPr>
                <w:sz w:val="20"/>
              </w:rPr>
            </w:pPr>
            <w:r>
              <w:rPr>
                <w:sz w:val="20"/>
              </w:rPr>
              <w:t>18</w:t>
            </w:r>
          </w:p>
        </w:tc>
      </w:tr>
      <w:tr>
        <w:trPr>
          <w:trHeight w:val="230" w:hRule="atLeast"/>
        </w:trPr>
        <w:tc>
          <w:tcPr>
            <w:tcW w:w="5526" w:type="dxa"/>
          </w:tcPr>
          <w:p>
            <w:pPr>
              <w:pStyle w:val="TableParagraph"/>
              <w:ind w:left="107"/>
              <w:rPr>
                <w:sz w:val="20"/>
              </w:rPr>
            </w:pPr>
            <w:r>
              <w:rPr>
                <w:sz w:val="20"/>
              </w:rPr>
              <w:t>Comprobación limitada</w:t>
            </w:r>
          </w:p>
        </w:tc>
        <w:tc>
          <w:tcPr>
            <w:tcW w:w="1558" w:type="dxa"/>
          </w:tcPr>
          <w:p>
            <w:pPr>
              <w:pStyle w:val="TableParagraph"/>
              <w:ind w:left="5"/>
              <w:jc w:val="center"/>
              <w:rPr>
                <w:sz w:val="20"/>
              </w:rPr>
            </w:pPr>
            <w:r>
              <w:rPr>
                <w:w w:val="99"/>
                <w:sz w:val="20"/>
              </w:rPr>
              <w:t>-</w:t>
            </w:r>
          </w:p>
        </w:tc>
        <w:tc>
          <w:tcPr>
            <w:tcW w:w="1412" w:type="dxa"/>
          </w:tcPr>
          <w:p>
            <w:pPr>
              <w:pStyle w:val="TableParagraph"/>
              <w:ind w:left="259" w:right="256"/>
              <w:jc w:val="center"/>
              <w:rPr>
                <w:sz w:val="20"/>
              </w:rPr>
            </w:pPr>
            <w:r>
              <w:rPr>
                <w:sz w:val="20"/>
              </w:rPr>
              <w:t>27</w:t>
            </w:r>
          </w:p>
        </w:tc>
      </w:tr>
      <w:tr>
        <w:trPr>
          <w:trHeight w:val="230" w:hRule="atLeast"/>
        </w:trPr>
        <w:tc>
          <w:tcPr>
            <w:tcW w:w="5526" w:type="dxa"/>
          </w:tcPr>
          <w:p>
            <w:pPr>
              <w:pStyle w:val="TableParagraph"/>
              <w:ind w:left="107"/>
              <w:rPr>
                <w:sz w:val="20"/>
              </w:rPr>
            </w:pPr>
            <w:r>
              <w:rPr>
                <w:sz w:val="20"/>
              </w:rPr>
              <w:t>Comprobantes de pago</w:t>
            </w:r>
          </w:p>
        </w:tc>
        <w:tc>
          <w:tcPr>
            <w:tcW w:w="1558" w:type="dxa"/>
          </w:tcPr>
          <w:p>
            <w:pPr>
              <w:pStyle w:val="TableParagraph"/>
              <w:ind w:left="5"/>
              <w:jc w:val="center"/>
              <w:rPr>
                <w:sz w:val="20"/>
              </w:rPr>
            </w:pPr>
            <w:r>
              <w:rPr>
                <w:w w:val="99"/>
                <w:sz w:val="20"/>
              </w:rPr>
              <w:t>-</w:t>
            </w:r>
          </w:p>
        </w:tc>
        <w:tc>
          <w:tcPr>
            <w:tcW w:w="1412" w:type="dxa"/>
          </w:tcPr>
          <w:p>
            <w:pPr>
              <w:pStyle w:val="TableParagraph"/>
              <w:ind w:left="7"/>
              <w:jc w:val="center"/>
              <w:rPr>
                <w:sz w:val="20"/>
              </w:rPr>
            </w:pPr>
            <w:r>
              <w:rPr>
                <w:w w:val="99"/>
                <w:sz w:val="20"/>
              </w:rPr>
              <w:t>-</w:t>
            </w:r>
          </w:p>
        </w:tc>
      </w:tr>
      <w:tr>
        <w:trPr>
          <w:trHeight w:val="229" w:hRule="atLeast"/>
        </w:trPr>
        <w:tc>
          <w:tcPr>
            <w:tcW w:w="5526" w:type="dxa"/>
          </w:tcPr>
          <w:p>
            <w:pPr>
              <w:pStyle w:val="TableParagraph"/>
              <w:ind w:left="107"/>
              <w:rPr>
                <w:sz w:val="20"/>
              </w:rPr>
            </w:pPr>
            <w:r>
              <w:rPr>
                <w:sz w:val="20"/>
              </w:rPr>
              <w:t>Comunicación tributaria</w:t>
            </w:r>
          </w:p>
        </w:tc>
        <w:tc>
          <w:tcPr>
            <w:tcW w:w="1558" w:type="dxa"/>
          </w:tcPr>
          <w:p>
            <w:pPr>
              <w:pStyle w:val="TableParagraph"/>
              <w:ind w:left="5"/>
              <w:jc w:val="center"/>
              <w:rPr>
                <w:sz w:val="20"/>
              </w:rPr>
            </w:pPr>
            <w:r>
              <w:rPr>
                <w:w w:val="99"/>
                <w:sz w:val="20"/>
              </w:rPr>
              <w:t>-</w:t>
            </w:r>
          </w:p>
        </w:tc>
        <w:tc>
          <w:tcPr>
            <w:tcW w:w="1412" w:type="dxa"/>
          </w:tcPr>
          <w:p>
            <w:pPr>
              <w:pStyle w:val="TableParagraph"/>
              <w:ind w:left="259" w:right="256"/>
              <w:jc w:val="center"/>
              <w:rPr>
                <w:sz w:val="20"/>
              </w:rPr>
            </w:pPr>
            <w:r>
              <w:rPr>
                <w:sz w:val="20"/>
              </w:rPr>
              <w:t>32</w:t>
            </w:r>
          </w:p>
        </w:tc>
      </w:tr>
      <w:tr>
        <w:trPr>
          <w:trHeight w:val="230" w:hRule="atLeast"/>
        </w:trPr>
        <w:tc>
          <w:tcPr>
            <w:tcW w:w="5526" w:type="dxa"/>
          </w:tcPr>
          <w:p>
            <w:pPr>
              <w:pStyle w:val="TableParagraph"/>
              <w:ind w:left="107"/>
              <w:rPr>
                <w:sz w:val="20"/>
              </w:rPr>
            </w:pPr>
            <w:r>
              <w:rPr>
                <w:sz w:val="20"/>
              </w:rPr>
              <w:t>Comunicaciones</w:t>
            </w:r>
          </w:p>
        </w:tc>
        <w:tc>
          <w:tcPr>
            <w:tcW w:w="1558" w:type="dxa"/>
          </w:tcPr>
          <w:p>
            <w:pPr>
              <w:pStyle w:val="TableParagraph"/>
              <w:ind w:left="243" w:right="241"/>
              <w:jc w:val="center"/>
              <w:rPr>
                <w:sz w:val="20"/>
              </w:rPr>
            </w:pPr>
            <w:r>
              <w:rPr>
                <w:sz w:val="20"/>
              </w:rPr>
              <w:t>110</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spacing w:line="211" w:lineRule="exact"/>
              <w:ind w:left="107"/>
              <w:rPr>
                <w:sz w:val="20"/>
              </w:rPr>
            </w:pPr>
            <w:r>
              <w:rPr>
                <w:sz w:val="20"/>
              </w:rPr>
              <w:t>Concurso de acreedores</w:t>
            </w:r>
          </w:p>
        </w:tc>
        <w:tc>
          <w:tcPr>
            <w:tcW w:w="1558" w:type="dxa"/>
          </w:tcPr>
          <w:p>
            <w:pPr>
              <w:pStyle w:val="TableParagraph"/>
              <w:spacing w:line="211" w:lineRule="exact"/>
              <w:ind w:left="6"/>
              <w:jc w:val="center"/>
              <w:rPr>
                <w:sz w:val="20"/>
              </w:rPr>
            </w:pPr>
            <w:r>
              <w:rPr>
                <w:w w:val="99"/>
                <w:sz w:val="20"/>
              </w:rPr>
              <w:t>1</w:t>
            </w:r>
          </w:p>
        </w:tc>
        <w:tc>
          <w:tcPr>
            <w:tcW w:w="1412" w:type="dxa"/>
          </w:tcPr>
          <w:p>
            <w:pPr>
              <w:pStyle w:val="TableParagraph"/>
              <w:spacing w:line="211" w:lineRule="exact"/>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Consultas tributarias</w:t>
            </w:r>
          </w:p>
        </w:tc>
        <w:tc>
          <w:tcPr>
            <w:tcW w:w="1558" w:type="dxa"/>
          </w:tcPr>
          <w:p>
            <w:pPr>
              <w:pStyle w:val="TableParagraph"/>
              <w:ind w:left="6"/>
              <w:jc w:val="center"/>
              <w:rPr>
                <w:sz w:val="20"/>
              </w:rPr>
            </w:pPr>
            <w:r>
              <w:rPr>
                <w:w w:val="99"/>
                <w:sz w:val="20"/>
              </w:rPr>
              <w:t>1</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Convenios</w:t>
            </w:r>
          </w:p>
        </w:tc>
        <w:tc>
          <w:tcPr>
            <w:tcW w:w="1558" w:type="dxa"/>
          </w:tcPr>
          <w:p>
            <w:pPr>
              <w:pStyle w:val="TableParagraph"/>
              <w:ind w:left="6"/>
              <w:jc w:val="center"/>
              <w:rPr>
                <w:sz w:val="20"/>
              </w:rPr>
            </w:pPr>
            <w:r>
              <w:rPr>
                <w:w w:val="99"/>
                <w:sz w:val="20"/>
              </w:rPr>
              <w:t>1</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Copias de documentación</w:t>
            </w:r>
          </w:p>
        </w:tc>
        <w:tc>
          <w:tcPr>
            <w:tcW w:w="1558" w:type="dxa"/>
          </w:tcPr>
          <w:p>
            <w:pPr>
              <w:pStyle w:val="TableParagraph"/>
              <w:ind w:left="6"/>
              <w:jc w:val="center"/>
              <w:rPr>
                <w:sz w:val="20"/>
              </w:rPr>
            </w:pPr>
            <w:r>
              <w:rPr>
                <w:w w:val="99"/>
                <w:sz w:val="20"/>
              </w:rPr>
              <w:t>8</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Datas recaudación</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3</w:t>
            </w:r>
          </w:p>
        </w:tc>
      </w:tr>
      <w:tr>
        <w:trPr>
          <w:trHeight w:val="230" w:hRule="atLeast"/>
        </w:trPr>
        <w:tc>
          <w:tcPr>
            <w:tcW w:w="5526" w:type="dxa"/>
          </w:tcPr>
          <w:p>
            <w:pPr>
              <w:pStyle w:val="TableParagraph"/>
              <w:ind w:left="107"/>
              <w:rPr>
                <w:sz w:val="20"/>
              </w:rPr>
            </w:pPr>
            <w:r>
              <w:rPr>
                <w:sz w:val="20"/>
              </w:rPr>
              <w:t>Declaración de Transmisión IIVTNU</w:t>
            </w:r>
          </w:p>
        </w:tc>
        <w:tc>
          <w:tcPr>
            <w:tcW w:w="1558" w:type="dxa"/>
          </w:tcPr>
          <w:p>
            <w:pPr>
              <w:pStyle w:val="TableParagraph"/>
              <w:ind w:left="242" w:right="241"/>
              <w:jc w:val="center"/>
              <w:rPr>
                <w:sz w:val="20"/>
              </w:rPr>
            </w:pPr>
            <w:r>
              <w:rPr>
                <w:sz w:val="20"/>
              </w:rPr>
              <w:t>465</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Declaraciones altas y bajas de tributos</w:t>
            </w:r>
          </w:p>
        </w:tc>
        <w:tc>
          <w:tcPr>
            <w:tcW w:w="1558" w:type="dxa"/>
          </w:tcPr>
          <w:p>
            <w:pPr>
              <w:pStyle w:val="TableParagraph"/>
              <w:spacing w:line="240" w:lineRule="auto"/>
              <w:rPr>
                <w:rFonts w:ascii="Times New Roman"/>
                <w:sz w:val="16"/>
              </w:rPr>
            </w:pP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Declaraciones catastrales</w:t>
            </w:r>
          </w:p>
        </w:tc>
        <w:tc>
          <w:tcPr>
            <w:tcW w:w="1558" w:type="dxa"/>
          </w:tcPr>
          <w:p>
            <w:pPr>
              <w:pStyle w:val="TableParagraph"/>
              <w:ind w:left="242" w:right="241"/>
              <w:jc w:val="center"/>
              <w:rPr>
                <w:sz w:val="20"/>
              </w:rPr>
            </w:pPr>
            <w:r>
              <w:rPr>
                <w:sz w:val="20"/>
              </w:rPr>
              <w:t>135</w:t>
            </w:r>
          </w:p>
        </w:tc>
        <w:tc>
          <w:tcPr>
            <w:tcW w:w="1412" w:type="dxa"/>
          </w:tcPr>
          <w:p>
            <w:pPr>
              <w:pStyle w:val="TableParagraph"/>
              <w:ind w:left="9"/>
              <w:jc w:val="center"/>
              <w:rPr>
                <w:sz w:val="20"/>
              </w:rPr>
            </w:pPr>
            <w:r>
              <w:rPr>
                <w:w w:val="99"/>
                <w:sz w:val="20"/>
              </w:rPr>
              <w:t>2</w:t>
            </w:r>
          </w:p>
        </w:tc>
      </w:tr>
      <w:tr>
        <w:trPr>
          <w:trHeight w:val="230" w:hRule="atLeast"/>
        </w:trPr>
        <w:tc>
          <w:tcPr>
            <w:tcW w:w="5526" w:type="dxa"/>
          </w:tcPr>
          <w:p>
            <w:pPr>
              <w:pStyle w:val="TableParagraph"/>
              <w:ind w:left="107"/>
              <w:rPr>
                <w:sz w:val="20"/>
              </w:rPr>
            </w:pPr>
            <w:r>
              <w:rPr>
                <w:sz w:val="20"/>
              </w:rPr>
              <w:t>Devolución de ingresos indebidos</w:t>
            </w:r>
          </w:p>
        </w:tc>
        <w:tc>
          <w:tcPr>
            <w:tcW w:w="1558" w:type="dxa"/>
          </w:tcPr>
          <w:p>
            <w:pPr>
              <w:pStyle w:val="TableParagraph"/>
              <w:ind w:left="242" w:right="241"/>
              <w:jc w:val="center"/>
              <w:rPr>
                <w:sz w:val="20"/>
              </w:rPr>
            </w:pPr>
            <w:r>
              <w:rPr>
                <w:sz w:val="20"/>
              </w:rPr>
              <w:t>100</w:t>
            </w:r>
          </w:p>
        </w:tc>
        <w:tc>
          <w:tcPr>
            <w:tcW w:w="1412" w:type="dxa"/>
          </w:tcPr>
          <w:p>
            <w:pPr>
              <w:pStyle w:val="TableParagraph"/>
              <w:ind w:left="9"/>
              <w:jc w:val="center"/>
              <w:rPr>
                <w:sz w:val="20"/>
              </w:rPr>
            </w:pPr>
            <w:r>
              <w:rPr>
                <w:w w:val="99"/>
                <w:sz w:val="20"/>
              </w:rPr>
              <w:t>2</w:t>
            </w:r>
          </w:p>
        </w:tc>
      </w:tr>
      <w:tr>
        <w:trPr>
          <w:trHeight w:val="230" w:hRule="atLeast"/>
        </w:trPr>
        <w:tc>
          <w:tcPr>
            <w:tcW w:w="5526" w:type="dxa"/>
          </w:tcPr>
          <w:p>
            <w:pPr>
              <w:pStyle w:val="TableParagraph"/>
              <w:ind w:left="107"/>
              <w:rPr>
                <w:sz w:val="20"/>
              </w:rPr>
            </w:pPr>
            <w:r>
              <w:rPr>
                <w:sz w:val="20"/>
              </w:rPr>
              <w:t>Devolución prorrateo</w:t>
            </w:r>
          </w:p>
        </w:tc>
        <w:tc>
          <w:tcPr>
            <w:tcW w:w="1558" w:type="dxa"/>
          </w:tcPr>
          <w:p>
            <w:pPr>
              <w:pStyle w:val="TableParagraph"/>
              <w:ind w:left="6"/>
              <w:jc w:val="center"/>
              <w:rPr>
                <w:sz w:val="20"/>
              </w:rPr>
            </w:pPr>
            <w:r>
              <w:rPr>
                <w:w w:val="99"/>
                <w:sz w:val="20"/>
              </w:rPr>
              <w:t>9</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Diligencias de embargo</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2</w:t>
            </w:r>
          </w:p>
        </w:tc>
      </w:tr>
      <w:tr>
        <w:trPr>
          <w:trHeight w:val="229" w:hRule="atLeast"/>
        </w:trPr>
        <w:tc>
          <w:tcPr>
            <w:tcW w:w="5526" w:type="dxa"/>
          </w:tcPr>
          <w:p>
            <w:pPr>
              <w:pStyle w:val="TableParagraph"/>
              <w:ind w:left="107"/>
              <w:rPr>
                <w:sz w:val="20"/>
              </w:rPr>
            </w:pPr>
            <w:r>
              <w:rPr>
                <w:sz w:val="20"/>
              </w:rPr>
              <w:t>Domiciliaciones bancarias</w:t>
            </w:r>
          </w:p>
        </w:tc>
        <w:tc>
          <w:tcPr>
            <w:tcW w:w="1558" w:type="dxa"/>
          </w:tcPr>
          <w:p>
            <w:pPr>
              <w:pStyle w:val="TableParagraph"/>
              <w:ind w:left="242" w:right="241"/>
              <w:jc w:val="center"/>
              <w:rPr>
                <w:sz w:val="20"/>
              </w:rPr>
            </w:pPr>
            <w:r>
              <w:rPr>
                <w:sz w:val="20"/>
              </w:rPr>
              <w:t>342</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Exenciones</w:t>
            </w:r>
          </w:p>
        </w:tc>
        <w:tc>
          <w:tcPr>
            <w:tcW w:w="1558" w:type="dxa"/>
          </w:tcPr>
          <w:p>
            <w:pPr>
              <w:pStyle w:val="TableParagraph"/>
              <w:ind w:left="242" w:right="241"/>
              <w:jc w:val="center"/>
              <w:rPr>
                <w:sz w:val="20"/>
              </w:rPr>
            </w:pPr>
            <w:r>
              <w:rPr>
                <w:sz w:val="20"/>
              </w:rPr>
              <w:t>35</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Expediente de liquidación de tributos</w:t>
            </w:r>
          </w:p>
        </w:tc>
        <w:tc>
          <w:tcPr>
            <w:tcW w:w="1558" w:type="dxa"/>
          </w:tcPr>
          <w:p>
            <w:pPr>
              <w:pStyle w:val="TableParagraph"/>
              <w:ind w:left="6"/>
              <w:jc w:val="center"/>
              <w:rPr>
                <w:sz w:val="20"/>
              </w:rPr>
            </w:pPr>
            <w:r>
              <w:rPr>
                <w:w w:val="99"/>
                <w:sz w:val="20"/>
              </w:rPr>
              <w:t>7</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Expedientes de embargos</w:t>
            </w:r>
          </w:p>
        </w:tc>
        <w:tc>
          <w:tcPr>
            <w:tcW w:w="1558" w:type="dxa"/>
          </w:tcPr>
          <w:p>
            <w:pPr>
              <w:pStyle w:val="TableParagraph"/>
              <w:ind w:left="6"/>
              <w:jc w:val="center"/>
              <w:rPr>
                <w:sz w:val="20"/>
              </w:rPr>
            </w:pPr>
            <w:r>
              <w:rPr>
                <w:w w:val="99"/>
                <w:sz w:val="20"/>
              </w:rPr>
              <w:t>1</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Expedientes de formación y cursos</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1</w:t>
            </w:r>
          </w:p>
        </w:tc>
      </w:tr>
      <w:tr>
        <w:trPr>
          <w:trHeight w:val="230" w:hRule="atLeast"/>
        </w:trPr>
        <w:tc>
          <w:tcPr>
            <w:tcW w:w="5526" w:type="dxa"/>
          </w:tcPr>
          <w:p>
            <w:pPr>
              <w:pStyle w:val="TableParagraph"/>
              <w:ind w:left="107"/>
              <w:rPr>
                <w:sz w:val="20"/>
              </w:rPr>
            </w:pPr>
            <w:r>
              <w:rPr>
                <w:sz w:val="20"/>
              </w:rPr>
              <w:t>Expedientes de colocación de excedentes de tesorería</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1</w:t>
            </w:r>
          </w:p>
        </w:tc>
      </w:tr>
      <w:tr>
        <w:trPr>
          <w:trHeight w:val="230" w:hRule="atLeast"/>
        </w:trPr>
        <w:tc>
          <w:tcPr>
            <w:tcW w:w="5526" w:type="dxa"/>
          </w:tcPr>
          <w:p>
            <w:pPr>
              <w:pStyle w:val="TableParagraph"/>
              <w:ind w:left="107"/>
              <w:rPr>
                <w:sz w:val="20"/>
              </w:rPr>
            </w:pPr>
            <w:r>
              <w:rPr>
                <w:sz w:val="20"/>
              </w:rPr>
              <w:t>Extinción de deuda por prescripción</w:t>
            </w:r>
          </w:p>
        </w:tc>
        <w:tc>
          <w:tcPr>
            <w:tcW w:w="1558" w:type="dxa"/>
          </w:tcPr>
          <w:p>
            <w:pPr>
              <w:pStyle w:val="TableParagraph"/>
              <w:ind w:left="242" w:right="241"/>
              <w:jc w:val="center"/>
              <w:rPr>
                <w:sz w:val="20"/>
              </w:rPr>
            </w:pPr>
            <w:r>
              <w:rPr>
                <w:sz w:val="20"/>
              </w:rPr>
              <w:t>36</w:t>
            </w:r>
          </w:p>
        </w:tc>
        <w:tc>
          <w:tcPr>
            <w:tcW w:w="1412" w:type="dxa"/>
          </w:tcPr>
          <w:p>
            <w:pPr>
              <w:pStyle w:val="TableParagraph"/>
              <w:ind w:left="9"/>
              <w:jc w:val="center"/>
              <w:rPr>
                <w:sz w:val="20"/>
              </w:rPr>
            </w:pPr>
            <w:r>
              <w:rPr>
                <w:w w:val="99"/>
                <w:sz w:val="20"/>
              </w:rPr>
              <w:t>7</w:t>
            </w:r>
          </w:p>
        </w:tc>
      </w:tr>
      <w:tr>
        <w:trPr>
          <w:trHeight w:val="230" w:hRule="atLeast"/>
        </w:trPr>
        <w:tc>
          <w:tcPr>
            <w:tcW w:w="5526" w:type="dxa"/>
          </w:tcPr>
          <w:p>
            <w:pPr>
              <w:pStyle w:val="TableParagraph"/>
              <w:ind w:left="107"/>
              <w:rPr>
                <w:sz w:val="20"/>
              </w:rPr>
            </w:pPr>
            <w:r>
              <w:rPr>
                <w:sz w:val="20"/>
              </w:rPr>
              <w:t>Fraccionamiento por comparecencia</w:t>
            </w:r>
          </w:p>
        </w:tc>
        <w:tc>
          <w:tcPr>
            <w:tcW w:w="1558" w:type="dxa"/>
          </w:tcPr>
          <w:p>
            <w:pPr>
              <w:pStyle w:val="TableParagraph"/>
              <w:ind w:left="242" w:right="241"/>
              <w:jc w:val="center"/>
              <w:rPr>
                <w:sz w:val="20"/>
              </w:rPr>
            </w:pPr>
            <w:r>
              <w:rPr>
                <w:sz w:val="20"/>
              </w:rPr>
              <w:t>258</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Generación de liquidaciones</w:t>
            </w:r>
          </w:p>
        </w:tc>
        <w:tc>
          <w:tcPr>
            <w:tcW w:w="1558" w:type="dxa"/>
          </w:tcPr>
          <w:p>
            <w:pPr>
              <w:pStyle w:val="TableParagraph"/>
              <w:ind w:left="242" w:right="241"/>
              <w:jc w:val="center"/>
              <w:rPr>
                <w:sz w:val="20"/>
              </w:rPr>
            </w:pPr>
            <w:r>
              <w:rPr>
                <w:sz w:val="20"/>
              </w:rPr>
              <w:t>44</w:t>
            </w:r>
          </w:p>
        </w:tc>
        <w:tc>
          <w:tcPr>
            <w:tcW w:w="1412" w:type="dxa"/>
          </w:tcPr>
          <w:p>
            <w:pPr>
              <w:pStyle w:val="TableParagraph"/>
              <w:ind w:left="259" w:right="256"/>
              <w:jc w:val="center"/>
              <w:rPr>
                <w:sz w:val="20"/>
              </w:rPr>
            </w:pPr>
            <w:r>
              <w:rPr>
                <w:sz w:val="20"/>
              </w:rPr>
              <w:t>281</w:t>
            </w:r>
          </w:p>
        </w:tc>
      </w:tr>
      <w:tr>
        <w:trPr>
          <w:trHeight w:val="230" w:hRule="atLeast"/>
        </w:trPr>
        <w:tc>
          <w:tcPr>
            <w:tcW w:w="5526" w:type="dxa"/>
          </w:tcPr>
          <w:p>
            <w:pPr>
              <w:pStyle w:val="TableParagraph"/>
              <w:ind w:left="107"/>
              <w:rPr>
                <w:sz w:val="20"/>
              </w:rPr>
            </w:pPr>
            <w:r>
              <w:rPr>
                <w:sz w:val="20"/>
              </w:rPr>
              <w:t>Informes de Servicios Jurídicos</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1</w:t>
            </w:r>
          </w:p>
        </w:tc>
      </w:tr>
      <w:tr>
        <w:trPr>
          <w:trHeight w:val="230" w:hRule="atLeast"/>
        </w:trPr>
        <w:tc>
          <w:tcPr>
            <w:tcW w:w="5526" w:type="dxa"/>
          </w:tcPr>
          <w:p>
            <w:pPr>
              <w:pStyle w:val="TableParagraph"/>
              <w:ind w:left="107"/>
              <w:rPr>
                <w:sz w:val="20"/>
              </w:rPr>
            </w:pPr>
            <w:r>
              <w:rPr>
                <w:sz w:val="20"/>
              </w:rPr>
              <w:t>Inspección tributaria</w:t>
            </w:r>
          </w:p>
        </w:tc>
        <w:tc>
          <w:tcPr>
            <w:tcW w:w="1558" w:type="dxa"/>
          </w:tcPr>
          <w:p>
            <w:pPr>
              <w:pStyle w:val="TableParagraph"/>
              <w:ind w:left="5"/>
              <w:jc w:val="center"/>
              <w:rPr>
                <w:sz w:val="20"/>
              </w:rPr>
            </w:pPr>
            <w:r>
              <w:rPr>
                <w:w w:val="99"/>
                <w:sz w:val="20"/>
              </w:rPr>
              <w:t>-</w:t>
            </w:r>
          </w:p>
        </w:tc>
        <w:tc>
          <w:tcPr>
            <w:tcW w:w="1412" w:type="dxa"/>
          </w:tcPr>
          <w:p>
            <w:pPr>
              <w:pStyle w:val="TableParagraph"/>
              <w:ind w:left="9"/>
              <w:jc w:val="center"/>
              <w:rPr>
                <w:sz w:val="20"/>
              </w:rPr>
            </w:pPr>
            <w:r>
              <w:rPr>
                <w:w w:val="99"/>
                <w:sz w:val="20"/>
              </w:rPr>
              <w:t>1</w:t>
            </w:r>
          </w:p>
        </w:tc>
      </w:tr>
      <w:tr>
        <w:trPr>
          <w:trHeight w:val="230" w:hRule="atLeast"/>
        </w:trPr>
        <w:tc>
          <w:tcPr>
            <w:tcW w:w="5526" w:type="dxa"/>
          </w:tcPr>
          <w:p>
            <w:pPr>
              <w:pStyle w:val="TableParagraph"/>
              <w:ind w:left="107"/>
              <w:rPr>
                <w:sz w:val="20"/>
              </w:rPr>
            </w:pPr>
            <w:r>
              <w:rPr>
                <w:sz w:val="20"/>
              </w:rPr>
              <w:t>Oficios</w:t>
            </w:r>
          </w:p>
        </w:tc>
        <w:tc>
          <w:tcPr>
            <w:tcW w:w="1558" w:type="dxa"/>
          </w:tcPr>
          <w:p>
            <w:pPr>
              <w:pStyle w:val="TableParagraph"/>
              <w:ind w:left="6"/>
              <w:jc w:val="center"/>
              <w:rPr>
                <w:sz w:val="20"/>
              </w:rPr>
            </w:pPr>
            <w:r>
              <w:rPr>
                <w:w w:val="99"/>
                <w:sz w:val="20"/>
              </w:rPr>
              <w:t>2</w:t>
            </w:r>
          </w:p>
        </w:tc>
        <w:tc>
          <w:tcPr>
            <w:tcW w:w="1412" w:type="dxa"/>
          </w:tcPr>
          <w:p>
            <w:pPr>
              <w:pStyle w:val="TableParagraph"/>
              <w:ind w:left="259" w:right="256"/>
              <w:jc w:val="center"/>
              <w:rPr>
                <w:sz w:val="20"/>
              </w:rPr>
            </w:pPr>
            <w:r>
              <w:rPr>
                <w:sz w:val="20"/>
              </w:rPr>
              <w:t>48</w:t>
            </w:r>
          </w:p>
        </w:tc>
      </w:tr>
      <w:tr>
        <w:trPr>
          <w:trHeight w:val="230" w:hRule="atLeast"/>
        </w:trPr>
        <w:tc>
          <w:tcPr>
            <w:tcW w:w="5526" w:type="dxa"/>
          </w:tcPr>
          <w:p>
            <w:pPr>
              <w:pStyle w:val="TableParagraph"/>
              <w:ind w:left="107"/>
              <w:rPr>
                <w:sz w:val="20"/>
              </w:rPr>
            </w:pPr>
            <w:r>
              <w:rPr>
                <w:sz w:val="20"/>
              </w:rPr>
              <w:t>Ordenanzas fiscales</w:t>
            </w:r>
          </w:p>
        </w:tc>
        <w:tc>
          <w:tcPr>
            <w:tcW w:w="1558" w:type="dxa"/>
          </w:tcPr>
          <w:p>
            <w:pPr>
              <w:pStyle w:val="TableParagraph"/>
              <w:ind w:left="5"/>
              <w:jc w:val="center"/>
              <w:rPr>
                <w:sz w:val="20"/>
              </w:rPr>
            </w:pPr>
            <w:r>
              <w:rPr>
                <w:w w:val="99"/>
                <w:sz w:val="20"/>
              </w:rPr>
              <w:t>-</w:t>
            </w:r>
          </w:p>
        </w:tc>
        <w:tc>
          <w:tcPr>
            <w:tcW w:w="1412" w:type="dxa"/>
          </w:tcPr>
          <w:p>
            <w:pPr>
              <w:pStyle w:val="TableParagraph"/>
              <w:ind w:left="7"/>
              <w:jc w:val="center"/>
              <w:rPr>
                <w:sz w:val="20"/>
              </w:rPr>
            </w:pPr>
            <w:r>
              <w:rPr>
                <w:w w:val="99"/>
                <w:sz w:val="20"/>
              </w:rPr>
              <w:t>-</w:t>
            </w:r>
          </w:p>
        </w:tc>
      </w:tr>
      <w:tr>
        <w:trPr>
          <w:trHeight w:val="230" w:hRule="atLeast"/>
        </w:trPr>
        <w:tc>
          <w:tcPr>
            <w:tcW w:w="5526" w:type="dxa"/>
          </w:tcPr>
          <w:p>
            <w:pPr>
              <w:pStyle w:val="TableParagraph"/>
              <w:ind w:left="107"/>
              <w:rPr>
                <w:sz w:val="20"/>
              </w:rPr>
            </w:pPr>
            <w:r>
              <w:rPr>
                <w:sz w:val="20"/>
              </w:rPr>
              <w:t>Padrón Fiscal</w:t>
            </w:r>
          </w:p>
        </w:tc>
        <w:tc>
          <w:tcPr>
            <w:tcW w:w="1558" w:type="dxa"/>
          </w:tcPr>
          <w:p>
            <w:pPr>
              <w:pStyle w:val="TableParagraph"/>
              <w:ind w:left="5"/>
              <w:jc w:val="center"/>
              <w:rPr>
                <w:sz w:val="20"/>
              </w:rPr>
            </w:pPr>
            <w:r>
              <w:rPr>
                <w:w w:val="99"/>
                <w:sz w:val="20"/>
              </w:rPr>
              <w:t>-</w:t>
            </w:r>
          </w:p>
        </w:tc>
        <w:tc>
          <w:tcPr>
            <w:tcW w:w="1412" w:type="dxa"/>
          </w:tcPr>
          <w:p>
            <w:pPr>
              <w:pStyle w:val="TableParagraph"/>
              <w:ind w:left="259" w:right="256"/>
              <w:jc w:val="center"/>
              <w:rPr>
                <w:sz w:val="20"/>
              </w:rPr>
            </w:pPr>
            <w:r>
              <w:rPr>
                <w:sz w:val="20"/>
              </w:rPr>
              <w:t>91</w:t>
            </w:r>
          </w:p>
        </w:tc>
      </w:tr>
      <w:tr>
        <w:trPr>
          <w:trHeight w:val="230" w:hRule="atLeast"/>
        </w:trPr>
        <w:tc>
          <w:tcPr>
            <w:tcW w:w="5526" w:type="dxa"/>
          </w:tcPr>
          <w:p>
            <w:pPr>
              <w:pStyle w:val="TableParagraph"/>
              <w:ind w:left="107"/>
              <w:rPr>
                <w:sz w:val="20"/>
              </w:rPr>
            </w:pPr>
            <w:r>
              <w:rPr>
                <w:sz w:val="20"/>
              </w:rPr>
              <w:t>Plan de pago personalizado</w:t>
            </w:r>
          </w:p>
        </w:tc>
        <w:tc>
          <w:tcPr>
            <w:tcW w:w="1558" w:type="dxa"/>
          </w:tcPr>
          <w:p>
            <w:pPr>
              <w:pStyle w:val="TableParagraph"/>
              <w:ind w:left="5"/>
              <w:jc w:val="center"/>
              <w:rPr>
                <w:sz w:val="20"/>
              </w:rPr>
            </w:pPr>
            <w:r>
              <w:rPr>
                <w:w w:val="99"/>
                <w:sz w:val="20"/>
              </w:rPr>
              <w:t>-</w:t>
            </w:r>
          </w:p>
        </w:tc>
        <w:tc>
          <w:tcPr>
            <w:tcW w:w="1412" w:type="dxa"/>
          </w:tcPr>
          <w:p>
            <w:pPr>
              <w:pStyle w:val="TableParagraph"/>
              <w:ind w:left="259" w:right="256"/>
              <w:jc w:val="center"/>
              <w:rPr>
                <w:sz w:val="20"/>
              </w:rPr>
            </w:pPr>
            <w:r>
              <w:rPr>
                <w:sz w:val="20"/>
              </w:rPr>
              <w:t>42</w:t>
            </w:r>
          </w:p>
        </w:tc>
      </w:tr>
      <w:tr>
        <w:trPr>
          <w:trHeight w:val="229" w:hRule="atLeast"/>
        </w:trPr>
        <w:tc>
          <w:tcPr>
            <w:tcW w:w="5526" w:type="dxa"/>
          </w:tcPr>
          <w:p>
            <w:pPr>
              <w:pStyle w:val="TableParagraph"/>
              <w:ind w:left="107"/>
              <w:rPr>
                <w:sz w:val="20"/>
              </w:rPr>
            </w:pPr>
            <w:r>
              <w:rPr>
                <w:sz w:val="20"/>
              </w:rPr>
              <w:t>Procedimientos revisión de oficio</w:t>
            </w:r>
          </w:p>
        </w:tc>
        <w:tc>
          <w:tcPr>
            <w:tcW w:w="1558" w:type="dxa"/>
          </w:tcPr>
          <w:p>
            <w:pPr>
              <w:pStyle w:val="TableParagraph"/>
              <w:ind w:left="5"/>
              <w:jc w:val="center"/>
              <w:rPr>
                <w:sz w:val="20"/>
              </w:rPr>
            </w:pPr>
            <w:r>
              <w:rPr>
                <w:w w:val="99"/>
                <w:sz w:val="20"/>
              </w:rPr>
              <w:t>-</w:t>
            </w:r>
          </w:p>
        </w:tc>
        <w:tc>
          <w:tcPr>
            <w:tcW w:w="1412" w:type="dxa"/>
          </w:tcPr>
          <w:p>
            <w:pPr>
              <w:pStyle w:val="TableParagraph"/>
              <w:ind w:left="259" w:right="256"/>
              <w:jc w:val="center"/>
              <w:rPr>
                <w:sz w:val="20"/>
              </w:rPr>
            </w:pPr>
            <w:r>
              <w:rPr>
                <w:sz w:val="20"/>
              </w:rPr>
              <w:t>51</w:t>
            </w:r>
          </w:p>
        </w:tc>
      </w:tr>
      <w:tr>
        <w:trPr>
          <w:trHeight w:val="230" w:hRule="atLeast"/>
        </w:trPr>
        <w:tc>
          <w:tcPr>
            <w:tcW w:w="5526" w:type="dxa"/>
          </w:tcPr>
          <w:p>
            <w:pPr>
              <w:pStyle w:val="TableParagraph"/>
              <w:ind w:left="107"/>
              <w:rPr>
                <w:sz w:val="20"/>
              </w:rPr>
            </w:pPr>
            <w:r>
              <w:rPr>
                <w:sz w:val="20"/>
              </w:rPr>
              <w:t>Providencias de apremio</w:t>
            </w:r>
          </w:p>
        </w:tc>
        <w:tc>
          <w:tcPr>
            <w:tcW w:w="1558" w:type="dxa"/>
          </w:tcPr>
          <w:p>
            <w:pPr>
              <w:pStyle w:val="TableParagraph"/>
              <w:ind w:left="6"/>
              <w:jc w:val="center"/>
              <w:rPr>
                <w:sz w:val="20"/>
              </w:rPr>
            </w:pPr>
            <w:r>
              <w:rPr>
                <w:w w:val="99"/>
                <w:sz w:val="20"/>
              </w:rPr>
              <w:t>2</w:t>
            </w:r>
          </w:p>
        </w:tc>
        <w:tc>
          <w:tcPr>
            <w:tcW w:w="1412" w:type="dxa"/>
          </w:tcPr>
          <w:p>
            <w:pPr>
              <w:pStyle w:val="TableParagraph"/>
              <w:ind w:left="259" w:right="256"/>
              <w:jc w:val="center"/>
              <w:rPr>
                <w:sz w:val="20"/>
              </w:rPr>
            </w:pPr>
            <w:r>
              <w:rPr>
                <w:sz w:val="20"/>
              </w:rPr>
              <w:t>13</w:t>
            </w:r>
          </w:p>
        </w:tc>
      </w:tr>
      <w:tr>
        <w:trPr>
          <w:trHeight w:val="230" w:hRule="atLeast"/>
        </w:trPr>
        <w:tc>
          <w:tcPr>
            <w:tcW w:w="5526" w:type="dxa"/>
          </w:tcPr>
          <w:p>
            <w:pPr>
              <w:pStyle w:val="TableParagraph"/>
              <w:ind w:left="107"/>
              <w:rPr>
                <w:sz w:val="20"/>
              </w:rPr>
            </w:pPr>
            <w:r>
              <w:rPr>
                <w:sz w:val="20"/>
              </w:rPr>
              <w:t>Recursos de reposición</w:t>
            </w:r>
          </w:p>
        </w:tc>
        <w:tc>
          <w:tcPr>
            <w:tcW w:w="1558" w:type="dxa"/>
          </w:tcPr>
          <w:p>
            <w:pPr>
              <w:pStyle w:val="TableParagraph"/>
              <w:ind w:left="242" w:right="241"/>
              <w:jc w:val="center"/>
              <w:rPr>
                <w:sz w:val="20"/>
              </w:rPr>
            </w:pPr>
            <w:r>
              <w:rPr>
                <w:sz w:val="20"/>
              </w:rPr>
              <w:t>53</w:t>
            </w:r>
          </w:p>
        </w:tc>
        <w:tc>
          <w:tcPr>
            <w:tcW w:w="1412" w:type="dxa"/>
          </w:tcPr>
          <w:p>
            <w:pPr>
              <w:pStyle w:val="TableParagraph"/>
              <w:ind w:left="7"/>
              <w:jc w:val="center"/>
              <w:rPr>
                <w:sz w:val="20"/>
              </w:rPr>
            </w:pPr>
            <w:r>
              <w:rPr>
                <w:w w:val="99"/>
                <w:sz w:val="20"/>
              </w:rPr>
              <w:t>-</w:t>
            </w:r>
          </w:p>
        </w:tc>
      </w:tr>
    </w:tbl>
    <w:p>
      <w:pPr>
        <w:spacing w:after="0"/>
        <w:jc w:val="center"/>
        <w:rPr>
          <w:sz w:val="20"/>
        </w:rPr>
        <w:sectPr>
          <w:pgSz w:w="11910" w:h="16840"/>
          <w:pgMar w:header="1217" w:footer="0" w:top="2740" w:bottom="280" w:left="1300" w:right="1440"/>
        </w:sectPr>
      </w:pPr>
    </w:p>
    <w:p>
      <w:pPr>
        <w:pStyle w:val="BodyText"/>
        <w:rPr>
          <w:rFonts w:ascii="Arial"/>
          <w:sz w:val="20"/>
        </w:rPr>
      </w:pPr>
    </w:p>
    <w:p>
      <w:pPr>
        <w:pStyle w:val="BodyText"/>
        <w:spacing w:before="3"/>
        <w:rPr>
          <w:rFonts w:ascii="Arial"/>
          <w:sz w:val="19"/>
        </w:rPr>
      </w:pPr>
    </w:p>
    <w:p>
      <w:pPr>
        <w:pStyle w:val="Heading4"/>
      </w:pPr>
      <w:r>
        <w:rPr/>
        <w:t>5.- UNIDAD DE RÉGIMEN INTERIOR.</w:t>
      </w:r>
    </w:p>
    <w:p>
      <w:pPr>
        <w:pStyle w:val="BodyText"/>
        <w:rPr>
          <w:b/>
          <w:sz w:val="26"/>
        </w:rPr>
      </w:pPr>
    </w:p>
    <w:p>
      <w:pPr>
        <w:pStyle w:val="BodyText"/>
        <w:spacing w:before="6"/>
        <w:rPr>
          <w:b/>
          <w:sz w:val="29"/>
        </w:rPr>
      </w:pPr>
    </w:p>
    <w:p>
      <w:pPr>
        <w:spacing w:before="0"/>
        <w:ind w:left="402" w:right="0" w:firstLine="0"/>
        <w:jc w:val="left"/>
        <w:rPr>
          <w:b/>
          <w:sz w:val="24"/>
        </w:rPr>
      </w:pPr>
      <w:r>
        <w:rPr>
          <w:b/>
          <w:sz w:val="24"/>
        </w:rPr>
        <w:t>Memoria anual del Archivo Municipal 2025</w:t>
      </w:r>
    </w:p>
    <w:p>
      <w:pPr>
        <w:spacing w:before="182"/>
        <w:ind w:left="402" w:right="0" w:firstLine="0"/>
        <w:jc w:val="left"/>
        <w:rPr>
          <w:b/>
          <w:sz w:val="24"/>
        </w:rPr>
      </w:pPr>
      <w:r>
        <w:rPr>
          <w:b/>
          <w:sz w:val="24"/>
        </w:rPr>
        <w:t>…</w:t>
      </w:r>
    </w:p>
    <w:p>
      <w:pPr>
        <w:pStyle w:val="BodyText"/>
        <w:spacing w:before="9"/>
        <w:rPr>
          <w:b/>
          <w:sz w:val="14"/>
        </w:rPr>
      </w:pPr>
      <w:r>
        <w:rPr/>
        <w:drawing>
          <wp:anchor distT="0" distB="0" distL="0" distR="0" allowOverlap="1" layoutInCell="1" locked="0" behindDoc="0" simplePos="0" relativeHeight="4">
            <wp:simplePos x="0" y="0"/>
            <wp:positionH relativeFrom="page">
              <wp:posOffset>1113314</wp:posOffset>
            </wp:positionH>
            <wp:positionV relativeFrom="paragraph">
              <wp:posOffset>133021</wp:posOffset>
            </wp:positionV>
            <wp:extent cx="5205248" cy="3621309"/>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5205248" cy="3621309"/>
                    </a:xfrm>
                    <a:prstGeom prst="rect">
                      <a:avLst/>
                    </a:prstGeom>
                  </pic:spPr>
                </pic:pic>
              </a:graphicData>
            </a:graphic>
          </wp:anchor>
        </w:drawing>
      </w:r>
    </w:p>
    <w:p>
      <w:pPr>
        <w:spacing w:before="213"/>
        <w:ind w:left="402" w:right="0" w:firstLine="0"/>
        <w:jc w:val="left"/>
        <w:rPr>
          <w:b/>
          <w:sz w:val="24"/>
        </w:rPr>
      </w:pPr>
      <w:r>
        <w:rPr>
          <w:b/>
          <w:sz w:val="24"/>
        </w:rPr>
        <w:t>…</w:t>
      </w:r>
    </w:p>
    <w:p>
      <w:pPr>
        <w:spacing w:after="0"/>
        <w:jc w:val="left"/>
        <w:rPr>
          <w:sz w:val="24"/>
        </w:rPr>
        <w:sectPr>
          <w:pgSz w:w="11910" w:h="16840"/>
          <w:pgMar w:header="1217" w:footer="0" w:top="2740" w:bottom="280" w:left="1300" w:right="1440"/>
        </w:sectPr>
      </w:pPr>
    </w:p>
    <w:p>
      <w:pPr>
        <w:pStyle w:val="BodyText"/>
        <w:rPr>
          <w:b/>
          <w:sz w:val="20"/>
        </w:rPr>
      </w:pPr>
    </w:p>
    <w:p>
      <w:pPr>
        <w:pStyle w:val="BodyText"/>
        <w:spacing w:before="5"/>
        <w:rPr>
          <w:b/>
          <w:sz w:val="28"/>
        </w:rPr>
      </w:pPr>
    </w:p>
    <w:p>
      <w:pPr>
        <w:pStyle w:val="BodyText"/>
        <w:ind w:left="416"/>
        <w:rPr>
          <w:sz w:val="20"/>
        </w:rPr>
      </w:pPr>
      <w:r>
        <w:rPr>
          <w:sz w:val="20"/>
        </w:rPr>
        <w:drawing>
          <wp:inline distT="0" distB="0" distL="0" distR="0">
            <wp:extent cx="4905488" cy="7105650"/>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4905488" cy="7105650"/>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5"/>
        <w:rPr>
          <w:b/>
          <w:sz w:val="28"/>
        </w:rPr>
      </w:pPr>
    </w:p>
    <w:p>
      <w:pPr>
        <w:pStyle w:val="BodyText"/>
        <w:ind w:left="401"/>
        <w:rPr>
          <w:sz w:val="20"/>
        </w:rPr>
      </w:pPr>
      <w:r>
        <w:rPr>
          <w:sz w:val="20"/>
        </w:rPr>
        <w:drawing>
          <wp:inline distT="0" distB="0" distL="0" distR="0">
            <wp:extent cx="4734045" cy="7077075"/>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4734045" cy="7077075"/>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rPr>
          <w:b/>
          <w:sz w:val="20"/>
        </w:rPr>
      </w:pPr>
    </w:p>
    <w:p>
      <w:pPr>
        <w:pStyle w:val="BodyText"/>
        <w:spacing w:before="7"/>
        <w:rPr>
          <w:b/>
          <w:sz w:val="13"/>
        </w:rPr>
      </w:pPr>
    </w:p>
    <w:p>
      <w:pPr>
        <w:pStyle w:val="BodyText"/>
        <w:ind w:left="401"/>
        <w:rPr>
          <w:sz w:val="20"/>
        </w:rPr>
      </w:pPr>
      <w:r>
        <w:rPr>
          <w:sz w:val="20"/>
        </w:rPr>
        <w:drawing>
          <wp:inline distT="0" distB="0" distL="0" distR="0">
            <wp:extent cx="4734143" cy="6219825"/>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4734143" cy="6219825"/>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rPr>
          <w:b/>
          <w:sz w:val="20"/>
        </w:rPr>
      </w:pPr>
    </w:p>
    <w:p>
      <w:pPr>
        <w:pStyle w:val="BodyText"/>
        <w:rPr>
          <w:b/>
          <w:sz w:val="11"/>
        </w:rPr>
      </w:pPr>
    </w:p>
    <w:p>
      <w:pPr>
        <w:pStyle w:val="BodyText"/>
        <w:ind w:left="416"/>
        <w:rPr>
          <w:sz w:val="20"/>
        </w:rPr>
      </w:pPr>
      <w:r>
        <w:rPr>
          <w:sz w:val="20"/>
        </w:rPr>
        <w:drawing>
          <wp:inline distT="0" distB="0" distL="0" distR="0">
            <wp:extent cx="4743636" cy="5715000"/>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4743636" cy="5715000"/>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16"/>
        <w:rPr>
          <w:sz w:val="20"/>
        </w:rPr>
      </w:pPr>
      <w:r>
        <w:rPr>
          <w:sz w:val="20"/>
        </w:rPr>
        <w:drawing>
          <wp:inline distT="0" distB="0" distL="0" distR="0">
            <wp:extent cx="4743572" cy="7029450"/>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4743572" cy="7029450"/>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8"/>
        <w:rPr>
          <w:b/>
          <w:sz w:val="29"/>
        </w:rPr>
      </w:pPr>
    </w:p>
    <w:p>
      <w:pPr>
        <w:pStyle w:val="BodyText"/>
        <w:ind w:left="401"/>
        <w:rPr>
          <w:sz w:val="20"/>
        </w:rPr>
      </w:pPr>
      <w:r>
        <w:rPr>
          <w:sz w:val="20"/>
        </w:rPr>
        <w:drawing>
          <wp:inline distT="0" distB="0" distL="0" distR="0">
            <wp:extent cx="4534122" cy="6076950"/>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4534122" cy="6076950"/>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rPr>
          <w:b/>
          <w:sz w:val="20"/>
        </w:rPr>
      </w:pPr>
    </w:p>
    <w:p>
      <w:pPr>
        <w:pStyle w:val="BodyText"/>
        <w:spacing w:before="4"/>
        <w:rPr>
          <w:b/>
          <w:sz w:val="12"/>
        </w:rPr>
      </w:pPr>
    </w:p>
    <w:p>
      <w:pPr>
        <w:pStyle w:val="BodyText"/>
        <w:ind w:left="461"/>
        <w:rPr>
          <w:sz w:val="20"/>
        </w:rPr>
      </w:pPr>
      <w:r>
        <w:rPr>
          <w:sz w:val="20"/>
        </w:rPr>
        <w:drawing>
          <wp:inline distT="0" distB="0" distL="0" distR="0">
            <wp:extent cx="4553146" cy="5705475"/>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4553146" cy="5705475"/>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46"/>
        <w:rPr>
          <w:sz w:val="20"/>
        </w:rPr>
      </w:pPr>
      <w:r>
        <w:rPr>
          <w:sz w:val="20"/>
        </w:rPr>
        <w:drawing>
          <wp:inline distT="0" distB="0" distL="0" distR="0">
            <wp:extent cx="5007729" cy="2300858"/>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5007729" cy="2300858"/>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3"/>
        <w:rPr>
          <w:b/>
          <w:sz w:val="19"/>
        </w:rPr>
      </w:pPr>
    </w:p>
    <w:p>
      <w:pPr>
        <w:spacing w:before="90"/>
        <w:ind w:left="402" w:right="0" w:firstLine="0"/>
        <w:jc w:val="left"/>
        <w:rPr>
          <w:b/>
          <w:sz w:val="24"/>
        </w:rPr>
      </w:pPr>
      <w:r>
        <w:rPr>
          <w:b/>
          <w:sz w:val="24"/>
        </w:rPr>
        <w:t>6.- UNIDAD DE SERVICIOS GENERALES.</w:t>
      </w:r>
    </w:p>
    <w:p>
      <w:pPr>
        <w:pStyle w:val="BodyText"/>
        <w:rPr>
          <w:b/>
          <w:sz w:val="26"/>
        </w:rPr>
      </w:pPr>
    </w:p>
    <w:p>
      <w:pPr>
        <w:pStyle w:val="BodyText"/>
        <w:spacing w:before="6"/>
        <w:rPr>
          <w:b/>
          <w:sz w:val="29"/>
        </w:rPr>
      </w:pPr>
    </w:p>
    <w:p>
      <w:pPr>
        <w:spacing w:before="0"/>
        <w:ind w:left="402" w:right="0" w:firstLine="0"/>
        <w:jc w:val="left"/>
        <w:rPr>
          <w:rFonts w:ascii="Calibri" w:hAnsi="Calibri"/>
          <w:sz w:val="28"/>
        </w:rPr>
      </w:pPr>
      <w:r>
        <w:rPr>
          <w:rFonts w:ascii="Calibri" w:hAnsi="Calibri"/>
          <w:color w:val="EC5C56"/>
          <w:sz w:val="28"/>
        </w:rPr>
        <w:t>Unidad administrativa de Servicios Generales (Patrimonio, Estadística,…)</w:t>
      </w:r>
    </w:p>
    <w:p>
      <w:pPr>
        <w:pStyle w:val="BodyText"/>
        <w:spacing w:before="2"/>
        <w:rPr>
          <w:rFonts w:ascii="Calibri"/>
          <w:sz w:val="22"/>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8507"/>
      </w:tblGrid>
      <w:tr>
        <w:trPr>
          <w:trHeight w:val="268" w:hRule="atLeast"/>
        </w:trPr>
        <w:tc>
          <w:tcPr>
            <w:tcW w:w="8932" w:type="dxa"/>
            <w:gridSpan w:val="2"/>
          </w:tcPr>
          <w:p>
            <w:pPr>
              <w:pStyle w:val="TableParagraph"/>
              <w:spacing w:line="248" w:lineRule="exact"/>
              <w:ind w:left="1927" w:right="1926"/>
              <w:jc w:val="center"/>
              <w:rPr>
                <w:rFonts w:ascii="Calibri" w:hAnsi="Calibri"/>
                <w:b/>
                <w:sz w:val="22"/>
              </w:rPr>
            </w:pPr>
            <w:r>
              <w:rPr>
                <w:rFonts w:ascii="Calibri" w:hAnsi="Calibri"/>
                <w:b/>
                <w:sz w:val="22"/>
              </w:rPr>
              <w:t>Memoria anual de Gestión de Servicios Generales 2025</w:t>
            </w:r>
          </w:p>
        </w:tc>
      </w:tr>
      <w:tr>
        <w:trPr>
          <w:trHeight w:val="268" w:hRule="atLeast"/>
        </w:trPr>
        <w:tc>
          <w:tcPr>
            <w:tcW w:w="425" w:type="dxa"/>
          </w:tcPr>
          <w:p>
            <w:pPr>
              <w:pStyle w:val="TableParagraph"/>
              <w:spacing w:line="248" w:lineRule="exact"/>
              <w:ind w:left="105"/>
              <w:rPr>
                <w:rFonts w:ascii="Times New Roman"/>
                <w:sz w:val="22"/>
              </w:rPr>
            </w:pPr>
            <w:r>
              <w:rPr>
                <w:rFonts w:ascii="Times New Roman"/>
                <w:w w:val="100"/>
                <w:sz w:val="22"/>
              </w:rPr>
              <w:t>1</w:t>
            </w:r>
          </w:p>
        </w:tc>
        <w:tc>
          <w:tcPr>
            <w:tcW w:w="8507" w:type="dxa"/>
          </w:tcPr>
          <w:p>
            <w:pPr>
              <w:pStyle w:val="TableParagraph"/>
              <w:spacing w:line="248" w:lineRule="exact"/>
              <w:ind w:left="107"/>
              <w:rPr>
                <w:rFonts w:ascii="Calibri" w:hAnsi="Calibri"/>
                <w:sz w:val="22"/>
              </w:rPr>
            </w:pPr>
            <w:r>
              <w:rPr>
                <w:rFonts w:ascii="Calibri" w:hAnsi="Calibri"/>
                <w:sz w:val="22"/>
              </w:rPr>
              <w:t>Expedientes tramitados (iniciados, terminados) número de actuaciones</w:t>
            </w:r>
          </w:p>
        </w:tc>
      </w:tr>
      <w:tr>
        <w:trPr>
          <w:trHeight w:val="269" w:hRule="atLeast"/>
        </w:trPr>
        <w:tc>
          <w:tcPr>
            <w:tcW w:w="425" w:type="dxa"/>
          </w:tcPr>
          <w:p>
            <w:pPr>
              <w:pStyle w:val="TableParagraph"/>
              <w:spacing w:line="249" w:lineRule="exact"/>
              <w:ind w:left="105"/>
              <w:rPr>
                <w:rFonts w:ascii="Times New Roman"/>
                <w:sz w:val="22"/>
              </w:rPr>
            </w:pPr>
            <w:r>
              <w:rPr>
                <w:rFonts w:ascii="Times New Roman"/>
                <w:w w:val="100"/>
                <w:sz w:val="22"/>
              </w:rPr>
              <w:t>2</w:t>
            </w:r>
          </w:p>
        </w:tc>
        <w:tc>
          <w:tcPr>
            <w:tcW w:w="8507" w:type="dxa"/>
          </w:tcPr>
          <w:p>
            <w:pPr>
              <w:pStyle w:val="TableParagraph"/>
              <w:spacing w:line="249" w:lineRule="exact"/>
              <w:ind w:left="107"/>
              <w:rPr>
                <w:rFonts w:ascii="Calibri" w:hAnsi="Calibri"/>
                <w:sz w:val="22"/>
              </w:rPr>
            </w:pPr>
            <w:r>
              <w:rPr>
                <w:rFonts w:ascii="Calibri" w:hAnsi="Calibri"/>
                <w:sz w:val="22"/>
              </w:rPr>
              <w:t>Expedientes de gestión del padrón (altas, bajas, cambios de domicilio, modificaciones,…)</w:t>
            </w:r>
          </w:p>
        </w:tc>
      </w:tr>
    </w:tbl>
    <w:p>
      <w:pPr>
        <w:pStyle w:val="BodyText"/>
        <w:rPr>
          <w:rFonts w:ascii="Calibri"/>
          <w:sz w:val="28"/>
        </w:rPr>
      </w:pPr>
    </w:p>
    <w:p>
      <w:pPr>
        <w:spacing w:before="195"/>
        <w:ind w:left="402" w:right="0" w:firstLine="0"/>
        <w:jc w:val="left"/>
        <w:rPr>
          <w:rFonts w:ascii="Calibri" w:hAnsi="Calibri"/>
          <w:b/>
          <w:sz w:val="28"/>
        </w:rPr>
      </w:pPr>
      <w:r>
        <w:rPr>
          <w:rFonts w:ascii="Calibri" w:hAnsi="Calibri"/>
          <w:b/>
          <w:sz w:val="28"/>
          <w:u w:val="single"/>
        </w:rPr>
        <w:t>Memoria anual de Gestión de Servicios Generales 2025</w:t>
      </w:r>
    </w:p>
    <w:p>
      <w:pPr>
        <w:pStyle w:val="BodyText"/>
        <w:spacing w:before="4"/>
        <w:rPr>
          <w:rFonts w:ascii="Calibri"/>
          <w:b/>
          <w:sz w:val="17"/>
        </w:rPr>
      </w:pPr>
    </w:p>
    <w:p>
      <w:pPr>
        <w:spacing w:before="56"/>
        <w:ind w:left="402" w:right="0" w:firstLine="0"/>
        <w:jc w:val="left"/>
        <w:rPr>
          <w:rFonts w:ascii="Calibri"/>
          <w:b/>
          <w:i/>
          <w:sz w:val="22"/>
        </w:rPr>
      </w:pPr>
      <w:r>
        <w:rPr>
          <w:rFonts w:ascii="Calibri"/>
          <w:b/>
          <w:i/>
          <w:color w:val="4471C4"/>
          <w:sz w:val="22"/>
        </w:rPr>
        <w:t>Servicios Generales.-</w:t>
      </w:r>
    </w:p>
    <w:p>
      <w:pPr>
        <w:pStyle w:val="BodyText"/>
        <w:rPr>
          <w:rFonts w:ascii="Calibri"/>
          <w:b/>
          <w:i/>
          <w:sz w:val="22"/>
        </w:rPr>
      </w:pPr>
    </w:p>
    <w:p>
      <w:pPr>
        <w:spacing w:before="1"/>
        <w:ind w:left="402" w:right="0" w:firstLine="0"/>
        <w:jc w:val="left"/>
        <w:rPr>
          <w:rFonts w:ascii="Calibri"/>
          <w:b/>
          <w:i/>
          <w:sz w:val="22"/>
        </w:rPr>
      </w:pPr>
      <w:r>
        <w:rPr>
          <w:rFonts w:ascii="Calibri"/>
          <w:b/>
          <w:i/>
          <w:color w:val="006FC0"/>
          <w:sz w:val="22"/>
        </w:rPr>
        <w:t>1: </w:t>
      </w:r>
      <w:r>
        <w:rPr>
          <w:rFonts w:ascii="Calibri"/>
          <w:b/>
          <w:i/>
          <w:sz w:val="22"/>
        </w:rPr>
        <w:t>Tramitados 49</w:t>
      </w:r>
    </w:p>
    <w:p>
      <w:pPr>
        <w:spacing w:line="480" w:lineRule="auto" w:before="0"/>
        <w:ind w:left="402" w:right="7520" w:firstLine="199"/>
        <w:jc w:val="left"/>
        <w:rPr>
          <w:rFonts w:ascii="Calibri"/>
          <w:b/>
          <w:i/>
          <w:sz w:val="22"/>
        </w:rPr>
      </w:pPr>
      <w:r>
        <w:rPr>
          <w:rFonts w:ascii="Calibri"/>
          <w:b/>
          <w:i/>
          <w:sz w:val="22"/>
        </w:rPr>
        <w:t>Abiertos 49 </w:t>
      </w:r>
      <w:r>
        <w:rPr>
          <w:rFonts w:ascii="Calibri"/>
          <w:b/>
          <w:i/>
          <w:color w:val="FFC000"/>
          <w:sz w:val="22"/>
        </w:rPr>
        <w:t>Patrimonio.-</w:t>
      </w:r>
    </w:p>
    <w:p>
      <w:pPr>
        <w:spacing w:line="267" w:lineRule="exact" w:before="0"/>
        <w:ind w:left="410" w:right="7180" w:firstLine="0"/>
        <w:jc w:val="center"/>
        <w:rPr>
          <w:rFonts w:ascii="Calibri"/>
          <w:b/>
          <w:i/>
          <w:sz w:val="22"/>
        </w:rPr>
      </w:pPr>
      <w:r>
        <w:rPr>
          <w:rFonts w:ascii="Calibri"/>
          <w:b/>
          <w:i/>
          <w:color w:val="FFC000"/>
          <w:sz w:val="22"/>
        </w:rPr>
        <w:t>1: </w:t>
      </w:r>
      <w:r>
        <w:rPr>
          <w:rFonts w:ascii="Calibri"/>
          <w:b/>
          <w:i/>
          <w:sz w:val="22"/>
        </w:rPr>
        <w:t>Tramitados 16</w:t>
      </w:r>
    </w:p>
    <w:p>
      <w:pPr>
        <w:spacing w:before="0"/>
        <w:ind w:left="359" w:right="7180" w:firstLine="0"/>
        <w:jc w:val="center"/>
        <w:rPr>
          <w:rFonts w:ascii="Calibri"/>
          <w:b/>
          <w:i/>
          <w:sz w:val="22"/>
        </w:rPr>
      </w:pPr>
      <w:r>
        <w:rPr>
          <w:rFonts w:ascii="Calibri"/>
          <w:b/>
          <w:i/>
          <w:sz w:val="22"/>
        </w:rPr>
        <w:t>Abiertos 16</w:t>
      </w:r>
    </w:p>
    <w:p>
      <w:pPr>
        <w:pStyle w:val="BodyText"/>
        <w:rPr>
          <w:rFonts w:ascii="Calibri"/>
          <w:b/>
          <w:i/>
          <w:sz w:val="22"/>
        </w:rPr>
      </w:pPr>
    </w:p>
    <w:p>
      <w:pPr>
        <w:pStyle w:val="BodyText"/>
        <w:spacing w:before="1"/>
        <w:rPr>
          <w:rFonts w:ascii="Calibri"/>
          <w:b/>
          <w:i/>
          <w:sz w:val="22"/>
        </w:rPr>
      </w:pPr>
    </w:p>
    <w:p>
      <w:pPr>
        <w:spacing w:before="0"/>
        <w:ind w:left="402" w:right="0" w:firstLine="0"/>
        <w:jc w:val="left"/>
        <w:rPr>
          <w:rFonts w:ascii="Calibri" w:hAnsi="Calibri"/>
          <w:b/>
          <w:i/>
          <w:sz w:val="22"/>
        </w:rPr>
      </w:pPr>
      <w:r>
        <w:rPr>
          <w:rFonts w:ascii="Calibri" w:hAnsi="Calibri"/>
          <w:b/>
          <w:i/>
          <w:color w:val="FF0000"/>
          <w:sz w:val="22"/>
        </w:rPr>
        <w:t>Estadística.-</w:t>
      </w:r>
    </w:p>
    <w:p>
      <w:pPr>
        <w:pStyle w:val="BodyText"/>
        <w:spacing w:before="1"/>
        <w:rPr>
          <w:rFonts w:ascii="Calibri"/>
          <w:b/>
          <w:i/>
          <w:sz w:val="22"/>
        </w:rPr>
      </w:pPr>
    </w:p>
    <w:p>
      <w:pPr>
        <w:spacing w:before="0"/>
        <w:ind w:left="410" w:right="7180" w:firstLine="0"/>
        <w:jc w:val="center"/>
        <w:rPr>
          <w:rFonts w:ascii="Calibri"/>
          <w:b/>
          <w:i/>
          <w:sz w:val="22"/>
        </w:rPr>
      </w:pPr>
      <w:r>
        <w:rPr>
          <w:rFonts w:ascii="Calibri"/>
          <w:b/>
          <w:i/>
          <w:color w:val="FF0000"/>
          <w:sz w:val="22"/>
        </w:rPr>
        <w:t>1: </w:t>
      </w:r>
      <w:r>
        <w:rPr>
          <w:rFonts w:ascii="Calibri"/>
          <w:b/>
          <w:i/>
          <w:sz w:val="22"/>
        </w:rPr>
        <w:t>Tramitados 71</w:t>
      </w:r>
    </w:p>
    <w:p>
      <w:pPr>
        <w:spacing w:before="0"/>
        <w:ind w:left="359" w:right="7180" w:firstLine="0"/>
        <w:jc w:val="center"/>
        <w:rPr>
          <w:rFonts w:ascii="Calibri"/>
          <w:b/>
          <w:i/>
          <w:sz w:val="22"/>
        </w:rPr>
      </w:pPr>
      <w:r>
        <w:rPr>
          <w:rFonts w:ascii="Calibri"/>
          <w:b/>
          <w:i/>
          <w:sz w:val="22"/>
        </w:rPr>
        <w:t>Abiertos 71</w:t>
      </w:r>
    </w:p>
    <w:p>
      <w:pPr>
        <w:pStyle w:val="BodyText"/>
        <w:spacing w:before="10"/>
        <w:rPr>
          <w:rFonts w:ascii="Calibri"/>
          <w:b/>
          <w:i/>
          <w:sz w:val="21"/>
        </w:rPr>
      </w:pPr>
    </w:p>
    <w:p>
      <w:pPr>
        <w:spacing w:before="0"/>
        <w:ind w:left="402" w:right="0" w:firstLine="0"/>
        <w:jc w:val="left"/>
        <w:rPr>
          <w:rFonts w:ascii="Calibri" w:hAnsi="Calibri"/>
          <w:b/>
          <w:i/>
          <w:sz w:val="20"/>
        </w:rPr>
      </w:pPr>
      <w:r>
        <w:rPr>
          <w:rFonts w:ascii="Calibri" w:hAnsi="Calibri"/>
          <w:b/>
          <w:i/>
          <w:color w:val="FF0000"/>
          <w:sz w:val="22"/>
        </w:rPr>
        <w:t>2: </w:t>
      </w:r>
      <w:r>
        <w:rPr>
          <w:rFonts w:ascii="Calibri" w:hAnsi="Calibri"/>
          <w:b/>
          <w:i/>
          <w:color w:val="FF0000"/>
          <w:sz w:val="20"/>
        </w:rPr>
        <w:t>Gestión del padrón: </w:t>
      </w:r>
      <w:r>
        <w:rPr>
          <w:rFonts w:ascii="Calibri" w:hAnsi="Calibri"/>
          <w:b/>
          <w:i/>
          <w:sz w:val="20"/>
        </w:rPr>
        <w:t>6.482 movimientos</w:t>
      </w:r>
    </w:p>
    <w:p>
      <w:pPr>
        <w:spacing w:before="1"/>
        <w:ind w:left="402" w:right="0" w:firstLine="0"/>
        <w:jc w:val="left"/>
        <w:rPr>
          <w:rFonts w:ascii="Calibri"/>
          <w:b/>
          <w:i/>
          <w:sz w:val="22"/>
        </w:rPr>
      </w:pPr>
      <w:r>
        <w:rPr>
          <w:rFonts w:ascii="Calibri"/>
          <w:b/>
          <w:i/>
          <w:sz w:val="22"/>
        </w:rPr>
        <w:t>Altas:</w:t>
      </w:r>
      <w:r>
        <w:rPr>
          <w:rFonts w:ascii="Calibri"/>
          <w:b/>
          <w:i/>
          <w:spacing w:val="-5"/>
          <w:sz w:val="22"/>
        </w:rPr>
        <w:t> </w:t>
      </w:r>
      <w:r>
        <w:rPr>
          <w:rFonts w:ascii="Calibri"/>
          <w:b/>
          <w:i/>
          <w:sz w:val="22"/>
        </w:rPr>
        <w:t>1784</w:t>
      </w:r>
    </w:p>
    <w:p>
      <w:pPr>
        <w:spacing w:before="0"/>
        <w:ind w:left="402" w:right="0" w:firstLine="0"/>
        <w:jc w:val="left"/>
        <w:rPr>
          <w:rFonts w:ascii="Calibri"/>
          <w:b/>
          <w:i/>
          <w:sz w:val="22"/>
        </w:rPr>
      </w:pPr>
      <w:r>
        <w:rPr>
          <w:rFonts w:ascii="Calibri"/>
          <w:b/>
          <w:i/>
          <w:sz w:val="22"/>
        </w:rPr>
        <w:t>Bajas:</w:t>
      </w:r>
      <w:r>
        <w:rPr>
          <w:rFonts w:ascii="Calibri"/>
          <w:b/>
          <w:i/>
          <w:spacing w:val="-4"/>
          <w:sz w:val="22"/>
        </w:rPr>
        <w:t> </w:t>
      </w:r>
      <w:r>
        <w:rPr>
          <w:rFonts w:ascii="Calibri"/>
          <w:b/>
          <w:i/>
          <w:sz w:val="22"/>
        </w:rPr>
        <w:t>1620</w:t>
      </w:r>
    </w:p>
    <w:p>
      <w:pPr>
        <w:spacing w:before="0"/>
        <w:ind w:left="402" w:right="0" w:firstLine="0"/>
        <w:jc w:val="left"/>
        <w:rPr>
          <w:rFonts w:ascii="Calibri"/>
          <w:b/>
          <w:i/>
          <w:sz w:val="22"/>
        </w:rPr>
      </w:pPr>
      <w:r>
        <w:rPr>
          <w:rFonts w:ascii="Calibri"/>
          <w:b/>
          <w:i/>
          <w:sz w:val="22"/>
        </w:rPr>
        <w:t>Cambios de domicilio: 604</w:t>
      </w:r>
    </w:p>
    <w:p>
      <w:pPr>
        <w:spacing w:before="0"/>
        <w:ind w:left="402" w:right="4372" w:firstLine="0"/>
        <w:jc w:val="left"/>
        <w:rPr>
          <w:rFonts w:ascii="Calibri" w:hAnsi="Calibri"/>
          <w:b/>
          <w:i/>
          <w:sz w:val="22"/>
        </w:rPr>
      </w:pPr>
      <w:r>
        <w:rPr>
          <w:rFonts w:ascii="Calibri" w:hAnsi="Calibri"/>
          <w:b/>
          <w:i/>
          <w:sz w:val="22"/>
        </w:rPr>
        <w:t>Renovación y confirmación de extranjeros: 1010 </w:t>
      </w:r>
      <w:r>
        <w:rPr>
          <w:rFonts w:ascii="Calibri" w:hAnsi="Calibri"/>
          <w:b/>
          <w:i/>
          <w:sz w:val="22"/>
        </w:rPr>
        <w:t>Modificación de datos personales: 1464</w:t>
      </w:r>
    </w:p>
    <w:p>
      <w:pPr>
        <w:spacing w:after="0"/>
        <w:jc w:val="left"/>
        <w:rPr>
          <w:rFonts w:ascii="Calibri" w:hAnsi="Calibri"/>
          <w:sz w:val="22"/>
        </w:rPr>
        <w:sectPr>
          <w:pgSz w:w="11910" w:h="16840"/>
          <w:pgMar w:header="1217" w:footer="0" w:top="2740" w:bottom="280" w:left="1300" w:right="1440"/>
        </w:sectPr>
      </w:pPr>
    </w:p>
    <w:p>
      <w:pPr>
        <w:pStyle w:val="BodyText"/>
        <w:rPr>
          <w:rFonts w:ascii="Calibri"/>
          <w:b/>
          <w:i/>
          <w:sz w:val="20"/>
        </w:rPr>
      </w:pPr>
    </w:p>
    <w:p>
      <w:pPr>
        <w:pStyle w:val="BodyText"/>
        <w:rPr>
          <w:rFonts w:ascii="Calibri"/>
          <w:b/>
          <w:i/>
          <w:sz w:val="17"/>
        </w:rPr>
      </w:pPr>
    </w:p>
    <w:p>
      <w:pPr>
        <w:pStyle w:val="Heading4"/>
      </w:pPr>
      <w:r>
        <w:rPr/>
        <w:t>7.- OFICINA TÉCNICA MUNICIPAL.</w:t>
      </w:r>
    </w:p>
    <w:p>
      <w:pPr>
        <w:spacing w:line="259" w:lineRule="auto" w:before="182"/>
        <w:ind w:left="402" w:right="306" w:firstLine="0"/>
        <w:jc w:val="left"/>
        <w:rPr>
          <w:b/>
          <w:sz w:val="24"/>
        </w:rPr>
      </w:pPr>
      <w:r>
        <w:rPr>
          <w:b/>
          <w:sz w:val="24"/>
        </w:rPr>
        <w:t>RELACIÓN DE EXPEDIENTES TRAMITADOS DURANTE EL AÑOS 2025 EN LA OFICINA TECNICA MUNICIPAL</w:t>
      </w:r>
    </w:p>
    <w:p>
      <w:pPr>
        <w:spacing w:before="157"/>
        <w:ind w:left="402" w:right="0" w:firstLine="0"/>
        <w:jc w:val="left"/>
        <w:rPr>
          <w:b/>
          <w:sz w:val="24"/>
        </w:rPr>
      </w:pPr>
      <w:r>
        <w:rPr>
          <w:b/>
          <w:sz w:val="24"/>
        </w:rPr>
        <w:t>DISCIPLINA URBANISTICA</w:t>
      </w:r>
    </w:p>
    <w:p>
      <w:pPr>
        <w:pStyle w:val="BodyText"/>
        <w:rPr>
          <w:b/>
          <w:sz w:val="16"/>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3"/>
        <w:gridCol w:w="850"/>
      </w:tblGrid>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EXPEDIENTES DE DENUNCIAS</w:t>
            </w:r>
          </w:p>
        </w:tc>
        <w:tc>
          <w:tcPr>
            <w:tcW w:w="850" w:type="dxa"/>
          </w:tcPr>
          <w:p>
            <w:pPr>
              <w:pStyle w:val="TableParagraph"/>
              <w:spacing w:line="256" w:lineRule="exact"/>
              <w:ind w:left="221" w:right="218"/>
              <w:jc w:val="center"/>
              <w:rPr>
                <w:rFonts w:ascii="Times New Roman"/>
                <w:sz w:val="24"/>
              </w:rPr>
            </w:pPr>
            <w:r>
              <w:rPr>
                <w:rFonts w:ascii="Times New Roman"/>
                <w:sz w:val="24"/>
              </w:rPr>
              <w:t>21</w:t>
            </w:r>
          </w:p>
        </w:tc>
      </w:tr>
      <w:tr>
        <w:trPr>
          <w:trHeight w:val="554" w:hRule="atLeast"/>
        </w:trPr>
        <w:tc>
          <w:tcPr>
            <w:tcW w:w="7653" w:type="dxa"/>
          </w:tcPr>
          <w:p>
            <w:pPr>
              <w:pStyle w:val="TableParagraph"/>
              <w:spacing w:line="270" w:lineRule="atLeast" w:before="1"/>
              <w:ind w:left="107" w:right="955"/>
              <w:rPr>
                <w:rFonts w:ascii="Times New Roman" w:hAnsi="Times New Roman"/>
                <w:sz w:val="24"/>
              </w:rPr>
            </w:pPr>
            <w:r>
              <w:rPr>
                <w:rFonts w:ascii="Times New Roman" w:hAnsi="Times New Roman"/>
                <w:sz w:val="24"/>
              </w:rPr>
              <w:t>INFRACCIONES SUELO RUSTICO – COOPERACIÓN CON LA AGENCIA DEL MEDIO NATURAL</w:t>
            </w:r>
          </w:p>
        </w:tc>
        <w:tc>
          <w:tcPr>
            <w:tcW w:w="850" w:type="dxa"/>
          </w:tcPr>
          <w:p>
            <w:pPr>
              <w:pStyle w:val="TableParagraph"/>
              <w:spacing w:line="240" w:lineRule="auto" w:before="1"/>
              <w:ind w:left="221" w:right="218"/>
              <w:jc w:val="center"/>
              <w:rPr>
                <w:rFonts w:ascii="Times New Roman"/>
                <w:sz w:val="24"/>
              </w:rPr>
            </w:pPr>
            <w:r>
              <w:rPr>
                <w:rFonts w:ascii="Times New Roman"/>
                <w:sz w:val="24"/>
              </w:rPr>
              <w:t>34</w:t>
            </w:r>
          </w:p>
        </w:tc>
      </w:tr>
      <w:tr>
        <w:trPr>
          <w:trHeight w:val="551" w:hRule="atLeast"/>
        </w:trPr>
        <w:tc>
          <w:tcPr>
            <w:tcW w:w="7653" w:type="dxa"/>
          </w:tcPr>
          <w:p>
            <w:pPr>
              <w:pStyle w:val="TableParagraph"/>
              <w:spacing w:line="276" w:lineRule="exact" w:before="2"/>
              <w:ind w:left="107"/>
              <w:rPr>
                <w:rFonts w:ascii="Times New Roman" w:hAnsi="Times New Roman"/>
                <w:sz w:val="24"/>
              </w:rPr>
            </w:pPr>
            <w:r>
              <w:rPr>
                <w:rFonts w:ascii="Times New Roman" w:hAnsi="Times New Roman"/>
                <w:sz w:val="24"/>
              </w:rPr>
              <w:t>INCOACIÓN DE EXPEDIENTES DE RESTABLECIMIENTO DEL ORDEN JURÍDICO PERTURBADO</w:t>
            </w:r>
          </w:p>
        </w:tc>
        <w:tc>
          <w:tcPr>
            <w:tcW w:w="850" w:type="dxa"/>
          </w:tcPr>
          <w:p>
            <w:pPr>
              <w:pStyle w:val="TableParagraph"/>
              <w:spacing w:line="275" w:lineRule="exact"/>
              <w:ind w:left="221" w:right="218"/>
              <w:jc w:val="center"/>
              <w:rPr>
                <w:rFonts w:ascii="Times New Roman"/>
                <w:sz w:val="24"/>
              </w:rPr>
            </w:pPr>
            <w:r>
              <w:rPr>
                <w:rFonts w:ascii="Times New Roman"/>
                <w:sz w:val="24"/>
              </w:rPr>
              <w:t>46</w:t>
            </w:r>
          </w:p>
        </w:tc>
      </w:tr>
      <w:tr>
        <w:trPr>
          <w:trHeight w:val="549" w:hRule="atLeast"/>
        </w:trPr>
        <w:tc>
          <w:tcPr>
            <w:tcW w:w="7653" w:type="dxa"/>
          </w:tcPr>
          <w:p>
            <w:pPr>
              <w:pStyle w:val="TableParagraph"/>
              <w:spacing w:line="276" w:lineRule="exact"/>
              <w:ind w:left="107"/>
              <w:rPr>
                <w:rFonts w:ascii="Times New Roman" w:hAnsi="Times New Roman"/>
                <w:sz w:val="24"/>
              </w:rPr>
            </w:pPr>
            <w:r>
              <w:rPr>
                <w:rFonts w:ascii="Times New Roman" w:hAnsi="Times New Roman"/>
                <w:sz w:val="24"/>
              </w:rPr>
              <w:t>EXPEDICIÓN DE CERTIFICADOS DE INEXISTENCIA DE EXPEDIENTES NO SANCIONADORES</w:t>
            </w:r>
          </w:p>
        </w:tc>
        <w:tc>
          <w:tcPr>
            <w:tcW w:w="850" w:type="dxa"/>
          </w:tcPr>
          <w:p>
            <w:pPr>
              <w:pStyle w:val="TableParagraph"/>
              <w:spacing w:line="273" w:lineRule="exact"/>
              <w:ind w:left="221" w:right="218"/>
              <w:jc w:val="center"/>
              <w:rPr>
                <w:rFonts w:ascii="Times New Roman"/>
                <w:sz w:val="24"/>
              </w:rPr>
            </w:pPr>
            <w:r>
              <w:rPr>
                <w:rFonts w:ascii="Times New Roman"/>
                <w:sz w:val="24"/>
              </w:rPr>
              <w:t>63</w:t>
            </w:r>
          </w:p>
        </w:tc>
      </w:tr>
    </w:tbl>
    <w:p>
      <w:pPr>
        <w:pStyle w:val="BodyText"/>
        <w:rPr>
          <w:b/>
          <w:sz w:val="26"/>
        </w:rPr>
      </w:pPr>
    </w:p>
    <w:p>
      <w:pPr>
        <w:spacing w:before="158"/>
        <w:ind w:left="402" w:right="0" w:firstLine="0"/>
        <w:jc w:val="left"/>
        <w:rPr>
          <w:b/>
          <w:sz w:val="24"/>
        </w:rPr>
      </w:pPr>
      <w:r>
        <w:rPr>
          <w:b/>
          <w:sz w:val="24"/>
        </w:rPr>
        <w:t>URBANISMO (TRAMITADOS)</w:t>
      </w:r>
    </w:p>
    <w:p>
      <w:pPr>
        <w:pStyle w:val="BodyText"/>
        <w:spacing w:before="8" w:after="1"/>
        <w:rPr>
          <w:b/>
          <w:sz w:val="15"/>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3"/>
        <w:gridCol w:w="850"/>
      </w:tblGrid>
      <w:tr>
        <w:trPr>
          <w:trHeight w:val="278" w:hRule="atLeast"/>
        </w:trPr>
        <w:tc>
          <w:tcPr>
            <w:tcW w:w="7653" w:type="dxa"/>
          </w:tcPr>
          <w:p>
            <w:pPr>
              <w:pStyle w:val="TableParagraph"/>
              <w:spacing w:line="257" w:lineRule="exact" w:before="1"/>
              <w:ind w:left="107"/>
              <w:rPr>
                <w:rFonts w:ascii="Times New Roman"/>
                <w:sz w:val="24"/>
              </w:rPr>
            </w:pPr>
            <w:r>
              <w:rPr>
                <w:rFonts w:ascii="Times New Roman"/>
                <w:sz w:val="24"/>
              </w:rPr>
              <w:t>LICENCIAS DE OBRAS</w:t>
            </w:r>
          </w:p>
        </w:tc>
        <w:tc>
          <w:tcPr>
            <w:tcW w:w="850" w:type="dxa"/>
          </w:tcPr>
          <w:p>
            <w:pPr>
              <w:pStyle w:val="TableParagraph"/>
              <w:spacing w:line="257" w:lineRule="exact" w:before="1"/>
              <w:ind w:left="221" w:right="218"/>
              <w:jc w:val="center"/>
              <w:rPr>
                <w:rFonts w:ascii="Times New Roman"/>
                <w:sz w:val="24"/>
              </w:rPr>
            </w:pPr>
            <w:r>
              <w:rPr>
                <w:rFonts w:ascii="Times New Roman"/>
                <w:sz w:val="24"/>
              </w:rPr>
              <w:t>69</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PLANEAMIENTO DE DESARROLLO</w:t>
            </w:r>
          </w:p>
        </w:tc>
        <w:tc>
          <w:tcPr>
            <w:tcW w:w="850" w:type="dxa"/>
          </w:tcPr>
          <w:p>
            <w:pPr>
              <w:pStyle w:val="TableParagraph"/>
              <w:spacing w:line="256" w:lineRule="exact"/>
              <w:ind w:left="3"/>
              <w:jc w:val="center"/>
              <w:rPr>
                <w:rFonts w:ascii="Times New Roman"/>
                <w:sz w:val="24"/>
              </w:rPr>
            </w:pPr>
            <w:r>
              <w:rPr>
                <w:rFonts w:ascii="Times New Roman"/>
                <w:sz w:val="24"/>
              </w:rPr>
              <w:t>6</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APARCAMIENTOS RESERVADOS</w:t>
            </w:r>
          </w:p>
        </w:tc>
        <w:tc>
          <w:tcPr>
            <w:tcW w:w="850" w:type="dxa"/>
          </w:tcPr>
          <w:p>
            <w:pPr>
              <w:pStyle w:val="TableParagraph"/>
              <w:spacing w:line="256" w:lineRule="exact"/>
              <w:ind w:left="221" w:right="218"/>
              <w:jc w:val="center"/>
              <w:rPr>
                <w:rFonts w:ascii="Times New Roman"/>
                <w:sz w:val="24"/>
              </w:rPr>
            </w:pPr>
            <w:r>
              <w:rPr>
                <w:rFonts w:ascii="Times New Roman"/>
                <w:sz w:val="24"/>
              </w:rPr>
              <w:t>33</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VADOS PERMANENTES</w:t>
            </w:r>
          </w:p>
        </w:tc>
        <w:tc>
          <w:tcPr>
            <w:tcW w:w="850" w:type="dxa"/>
          </w:tcPr>
          <w:p>
            <w:pPr>
              <w:pStyle w:val="TableParagraph"/>
              <w:spacing w:line="256" w:lineRule="exact"/>
              <w:ind w:left="221" w:right="218"/>
              <w:jc w:val="center"/>
              <w:rPr>
                <w:rFonts w:ascii="Times New Roman"/>
                <w:sz w:val="24"/>
              </w:rPr>
            </w:pPr>
            <w:r>
              <w:rPr>
                <w:rFonts w:ascii="Times New Roman"/>
                <w:sz w:val="24"/>
              </w:rPr>
              <w:t>54</w:t>
            </w:r>
          </w:p>
        </w:tc>
      </w:tr>
      <w:tr>
        <w:trPr>
          <w:trHeight w:val="275"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OBRAS DE LA ADMINISTRACIÓN PUBLICA</w:t>
            </w:r>
          </w:p>
        </w:tc>
        <w:tc>
          <w:tcPr>
            <w:tcW w:w="850" w:type="dxa"/>
          </w:tcPr>
          <w:p>
            <w:pPr>
              <w:pStyle w:val="TableParagraph"/>
              <w:spacing w:line="256" w:lineRule="exact"/>
              <w:ind w:left="221" w:right="218"/>
              <w:jc w:val="center"/>
              <w:rPr>
                <w:rFonts w:ascii="Times New Roman"/>
                <w:sz w:val="24"/>
              </w:rPr>
            </w:pPr>
            <w:r>
              <w:rPr>
                <w:rFonts w:ascii="Times New Roman"/>
                <w:sz w:val="24"/>
              </w:rPr>
              <w:t>47</w:t>
            </w:r>
          </w:p>
        </w:tc>
      </w:tr>
      <w:tr>
        <w:trPr>
          <w:trHeight w:val="275"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LICENCIA DE OBRAS EN LA VÍA PÚBLICA</w:t>
            </w:r>
          </w:p>
        </w:tc>
        <w:tc>
          <w:tcPr>
            <w:tcW w:w="850" w:type="dxa"/>
          </w:tcPr>
          <w:p>
            <w:pPr>
              <w:pStyle w:val="TableParagraph"/>
              <w:spacing w:line="256" w:lineRule="exact"/>
              <w:ind w:left="221" w:right="218"/>
              <w:jc w:val="center"/>
              <w:rPr>
                <w:rFonts w:ascii="Times New Roman"/>
                <w:sz w:val="24"/>
              </w:rPr>
            </w:pPr>
            <w:r>
              <w:rPr>
                <w:rFonts w:ascii="Times New Roman"/>
                <w:sz w:val="24"/>
              </w:rPr>
              <w:t>46</w:t>
            </w:r>
          </w:p>
        </w:tc>
      </w:tr>
      <w:tr>
        <w:trPr>
          <w:trHeight w:val="278" w:hRule="atLeast"/>
        </w:trPr>
        <w:tc>
          <w:tcPr>
            <w:tcW w:w="7653" w:type="dxa"/>
          </w:tcPr>
          <w:p>
            <w:pPr>
              <w:pStyle w:val="TableParagraph"/>
              <w:spacing w:line="257" w:lineRule="exact" w:before="1"/>
              <w:ind w:left="107"/>
              <w:rPr>
                <w:rFonts w:ascii="Times New Roman" w:hAnsi="Times New Roman"/>
                <w:sz w:val="24"/>
              </w:rPr>
            </w:pPr>
            <w:r>
              <w:rPr>
                <w:rFonts w:ascii="Times New Roman" w:hAnsi="Times New Roman"/>
                <w:sz w:val="24"/>
              </w:rPr>
              <w:t>PLANEAMIENTO URBANÍSTICO</w:t>
            </w:r>
          </w:p>
        </w:tc>
        <w:tc>
          <w:tcPr>
            <w:tcW w:w="850" w:type="dxa"/>
          </w:tcPr>
          <w:p>
            <w:pPr>
              <w:pStyle w:val="TableParagraph"/>
              <w:spacing w:line="257" w:lineRule="exact" w:before="1"/>
              <w:ind w:left="221" w:right="218"/>
              <w:jc w:val="center"/>
              <w:rPr>
                <w:rFonts w:ascii="Times New Roman"/>
                <w:sz w:val="24"/>
              </w:rPr>
            </w:pPr>
            <w:r>
              <w:rPr>
                <w:rFonts w:ascii="Times New Roman"/>
                <w:sz w:val="24"/>
              </w:rPr>
              <w:t>28</w:t>
            </w:r>
          </w:p>
        </w:tc>
      </w:tr>
      <w:tr>
        <w:trPr>
          <w:trHeight w:val="275"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INFORMES URBANÍSTICOS</w:t>
            </w:r>
          </w:p>
        </w:tc>
        <w:tc>
          <w:tcPr>
            <w:tcW w:w="850" w:type="dxa"/>
          </w:tcPr>
          <w:p>
            <w:pPr>
              <w:pStyle w:val="TableParagraph"/>
              <w:spacing w:line="256" w:lineRule="exact"/>
              <w:ind w:left="221" w:right="218"/>
              <w:jc w:val="center"/>
              <w:rPr>
                <w:rFonts w:ascii="Times New Roman"/>
                <w:sz w:val="24"/>
              </w:rPr>
            </w:pPr>
            <w:r>
              <w:rPr>
                <w:rFonts w:ascii="Times New Roman"/>
                <w:sz w:val="24"/>
              </w:rPr>
              <w:t>352</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INFORMES DE COMPATIBILIDAD</w:t>
            </w:r>
          </w:p>
        </w:tc>
        <w:tc>
          <w:tcPr>
            <w:tcW w:w="850" w:type="dxa"/>
          </w:tcPr>
          <w:p>
            <w:pPr>
              <w:pStyle w:val="TableParagraph"/>
              <w:spacing w:line="256" w:lineRule="exact"/>
              <w:ind w:left="221" w:right="218"/>
              <w:jc w:val="center"/>
              <w:rPr>
                <w:rFonts w:ascii="Times New Roman"/>
                <w:sz w:val="24"/>
              </w:rPr>
            </w:pPr>
            <w:r>
              <w:rPr>
                <w:rFonts w:ascii="Times New Roman"/>
                <w:sz w:val="24"/>
              </w:rPr>
              <w:t>53</w:t>
            </w:r>
          </w:p>
        </w:tc>
      </w:tr>
      <w:tr>
        <w:trPr>
          <w:trHeight w:val="275"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EXPROPIACIONES FORZÓSAS</w:t>
            </w:r>
          </w:p>
        </w:tc>
        <w:tc>
          <w:tcPr>
            <w:tcW w:w="850" w:type="dxa"/>
          </w:tcPr>
          <w:p>
            <w:pPr>
              <w:pStyle w:val="TableParagraph"/>
              <w:spacing w:line="256" w:lineRule="exact"/>
              <w:ind w:left="3"/>
              <w:jc w:val="center"/>
              <w:rPr>
                <w:rFonts w:ascii="Times New Roman"/>
                <w:sz w:val="24"/>
              </w:rPr>
            </w:pPr>
            <w:r>
              <w:rPr>
                <w:rFonts w:ascii="Times New Roman"/>
                <w:sz w:val="24"/>
              </w:rPr>
              <w:t>4</w:t>
            </w:r>
          </w:p>
        </w:tc>
      </w:tr>
      <w:tr>
        <w:trPr>
          <w:trHeight w:val="551" w:hRule="atLeast"/>
        </w:trPr>
        <w:tc>
          <w:tcPr>
            <w:tcW w:w="7653" w:type="dxa"/>
          </w:tcPr>
          <w:p>
            <w:pPr>
              <w:pStyle w:val="TableParagraph"/>
              <w:spacing w:line="276" w:lineRule="exact" w:before="2"/>
              <w:ind w:left="107"/>
              <w:rPr>
                <w:rFonts w:ascii="Times New Roman" w:hAnsi="Times New Roman"/>
                <w:sz w:val="24"/>
              </w:rPr>
            </w:pPr>
            <w:r>
              <w:rPr>
                <w:rFonts w:ascii="Times New Roman" w:hAnsi="Times New Roman"/>
                <w:sz w:val="24"/>
              </w:rPr>
              <w:t>COMUNICACIONES PREVIAS DE PRIMERA OCUPACIÓN (TÍTULO HABILITANTE)</w:t>
            </w:r>
          </w:p>
        </w:tc>
        <w:tc>
          <w:tcPr>
            <w:tcW w:w="850" w:type="dxa"/>
          </w:tcPr>
          <w:p>
            <w:pPr>
              <w:pStyle w:val="TableParagraph"/>
              <w:spacing w:line="275" w:lineRule="exact"/>
              <w:ind w:left="221" w:right="218"/>
              <w:jc w:val="center"/>
              <w:rPr>
                <w:rFonts w:ascii="Times New Roman"/>
                <w:sz w:val="24"/>
              </w:rPr>
            </w:pPr>
            <w:r>
              <w:rPr>
                <w:rFonts w:ascii="Times New Roman"/>
                <w:sz w:val="24"/>
              </w:rPr>
              <w:t>36</w:t>
            </w:r>
          </w:p>
        </w:tc>
      </w:tr>
      <w:tr>
        <w:trPr>
          <w:trHeight w:val="549" w:hRule="atLeast"/>
        </w:trPr>
        <w:tc>
          <w:tcPr>
            <w:tcW w:w="7653" w:type="dxa"/>
          </w:tcPr>
          <w:p>
            <w:pPr>
              <w:pStyle w:val="TableParagraph"/>
              <w:spacing w:line="273" w:lineRule="exact"/>
              <w:ind w:left="107"/>
              <w:rPr>
                <w:rFonts w:ascii="Times New Roman" w:hAnsi="Times New Roman"/>
                <w:sz w:val="24"/>
              </w:rPr>
            </w:pPr>
            <w:r>
              <w:rPr>
                <w:rFonts w:ascii="Times New Roman" w:hAnsi="Times New Roman"/>
                <w:sz w:val="24"/>
              </w:rPr>
              <w:t>COMUNICACIONES PRÉVIAS DE PRIMERA OCUPACIÓN (FUERA</w:t>
            </w:r>
          </w:p>
          <w:p>
            <w:pPr>
              <w:pStyle w:val="TableParagraph"/>
              <w:spacing w:line="257" w:lineRule="exact"/>
              <w:ind w:left="107"/>
              <w:rPr>
                <w:rFonts w:ascii="Times New Roman" w:hAnsi="Times New Roman"/>
                <w:sz w:val="24"/>
              </w:rPr>
            </w:pPr>
            <w:r>
              <w:rPr>
                <w:rFonts w:ascii="Times New Roman" w:hAnsi="Times New Roman"/>
                <w:sz w:val="24"/>
              </w:rPr>
              <w:t>DE ORDENACIÓN)</w:t>
            </w:r>
          </w:p>
        </w:tc>
        <w:tc>
          <w:tcPr>
            <w:tcW w:w="850" w:type="dxa"/>
          </w:tcPr>
          <w:p>
            <w:pPr>
              <w:pStyle w:val="TableParagraph"/>
              <w:spacing w:line="273" w:lineRule="exact"/>
              <w:ind w:left="221" w:right="218"/>
              <w:jc w:val="center"/>
              <w:rPr>
                <w:rFonts w:ascii="Times New Roman"/>
                <w:sz w:val="24"/>
              </w:rPr>
            </w:pPr>
            <w:r>
              <w:rPr>
                <w:rFonts w:ascii="Times New Roman"/>
                <w:sz w:val="24"/>
              </w:rPr>
              <w:t>150</w:t>
            </w:r>
          </w:p>
        </w:tc>
      </w:tr>
      <w:tr>
        <w:trPr>
          <w:trHeight w:val="278" w:hRule="atLeast"/>
        </w:trPr>
        <w:tc>
          <w:tcPr>
            <w:tcW w:w="7653" w:type="dxa"/>
          </w:tcPr>
          <w:p>
            <w:pPr>
              <w:pStyle w:val="TableParagraph"/>
              <w:spacing w:line="257" w:lineRule="exact" w:before="1"/>
              <w:ind w:left="107"/>
              <w:rPr>
                <w:rFonts w:ascii="Times New Roman"/>
                <w:sz w:val="24"/>
              </w:rPr>
            </w:pPr>
            <w:r>
              <w:rPr>
                <w:rFonts w:ascii="Times New Roman"/>
                <w:sz w:val="24"/>
              </w:rPr>
              <w:t>COMUNICACIONES PREVIAS DE OBRAS</w:t>
            </w:r>
          </w:p>
        </w:tc>
        <w:tc>
          <w:tcPr>
            <w:tcW w:w="850" w:type="dxa"/>
          </w:tcPr>
          <w:p>
            <w:pPr>
              <w:pStyle w:val="TableParagraph"/>
              <w:spacing w:line="257" w:lineRule="exact" w:before="1"/>
              <w:ind w:left="221" w:right="218"/>
              <w:jc w:val="center"/>
              <w:rPr>
                <w:rFonts w:ascii="Times New Roman"/>
                <w:sz w:val="24"/>
              </w:rPr>
            </w:pPr>
            <w:r>
              <w:rPr>
                <w:rFonts w:ascii="Times New Roman"/>
                <w:sz w:val="24"/>
              </w:rPr>
              <w:t>370</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CERTIFICADOS DE DISTANCIA</w:t>
            </w:r>
          </w:p>
        </w:tc>
        <w:tc>
          <w:tcPr>
            <w:tcW w:w="850" w:type="dxa"/>
          </w:tcPr>
          <w:p>
            <w:pPr>
              <w:pStyle w:val="TableParagraph"/>
              <w:spacing w:line="256" w:lineRule="exact"/>
              <w:ind w:left="3"/>
              <w:jc w:val="center"/>
              <w:rPr>
                <w:rFonts w:ascii="Times New Roman"/>
                <w:sz w:val="24"/>
              </w:rPr>
            </w:pPr>
            <w:r>
              <w:rPr>
                <w:rFonts w:ascii="Times New Roman"/>
                <w:sz w:val="24"/>
              </w:rPr>
              <w:t>2</w:t>
            </w:r>
          </w:p>
        </w:tc>
      </w:tr>
      <w:tr>
        <w:trPr>
          <w:trHeight w:val="275"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CERTIFICADOS DE ANTIGÜEDAD</w:t>
            </w:r>
          </w:p>
        </w:tc>
        <w:tc>
          <w:tcPr>
            <w:tcW w:w="850" w:type="dxa"/>
          </w:tcPr>
          <w:p>
            <w:pPr>
              <w:pStyle w:val="TableParagraph"/>
              <w:spacing w:line="256" w:lineRule="exact"/>
              <w:ind w:left="3"/>
              <w:jc w:val="center"/>
              <w:rPr>
                <w:rFonts w:ascii="Times New Roman"/>
                <w:sz w:val="24"/>
              </w:rPr>
            </w:pPr>
            <w:r>
              <w:rPr>
                <w:rFonts w:ascii="Times New Roman"/>
                <w:sz w:val="24"/>
              </w:rPr>
              <w:t>8</w:t>
            </w:r>
          </w:p>
        </w:tc>
      </w:tr>
      <w:tr>
        <w:trPr>
          <w:trHeight w:val="275"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CERTIFICADOS URBANÍSTICOS</w:t>
            </w:r>
          </w:p>
        </w:tc>
        <w:tc>
          <w:tcPr>
            <w:tcW w:w="850" w:type="dxa"/>
          </w:tcPr>
          <w:p>
            <w:pPr>
              <w:pStyle w:val="TableParagraph"/>
              <w:spacing w:line="256" w:lineRule="exact"/>
              <w:ind w:left="221" w:right="218"/>
              <w:jc w:val="center"/>
              <w:rPr>
                <w:rFonts w:ascii="Times New Roman"/>
                <w:sz w:val="24"/>
              </w:rPr>
            </w:pPr>
            <w:r>
              <w:rPr>
                <w:rFonts w:ascii="Times New Roman"/>
                <w:sz w:val="24"/>
              </w:rPr>
              <w:t>18</w:t>
            </w:r>
          </w:p>
        </w:tc>
      </w:tr>
      <w:tr>
        <w:trPr>
          <w:trHeight w:val="276"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AUTORIZACIÓN RESERVA DE ESPACIOS</w:t>
            </w:r>
          </w:p>
        </w:tc>
        <w:tc>
          <w:tcPr>
            <w:tcW w:w="850" w:type="dxa"/>
          </w:tcPr>
          <w:p>
            <w:pPr>
              <w:pStyle w:val="TableParagraph"/>
              <w:spacing w:line="256" w:lineRule="exact"/>
              <w:ind w:left="221" w:right="218"/>
              <w:jc w:val="center"/>
              <w:rPr>
                <w:rFonts w:ascii="Times New Roman"/>
                <w:sz w:val="24"/>
              </w:rPr>
            </w:pPr>
            <w:r>
              <w:rPr>
                <w:rFonts w:ascii="Times New Roman"/>
                <w:sz w:val="24"/>
              </w:rPr>
              <w:t>140</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EXPEDIENTES DE RESERVA DE ESTACIONAMIENTO</w:t>
            </w:r>
          </w:p>
        </w:tc>
        <w:tc>
          <w:tcPr>
            <w:tcW w:w="850" w:type="dxa"/>
          </w:tcPr>
          <w:p>
            <w:pPr>
              <w:pStyle w:val="TableParagraph"/>
              <w:spacing w:line="256" w:lineRule="exact"/>
              <w:ind w:left="3"/>
              <w:jc w:val="center"/>
              <w:rPr>
                <w:rFonts w:ascii="Times New Roman"/>
                <w:sz w:val="24"/>
              </w:rPr>
            </w:pPr>
            <w:r>
              <w:rPr>
                <w:rFonts w:ascii="Times New Roman"/>
                <w:sz w:val="24"/>
              </w:rPr>
              <w:t>9</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EXPEDIENTES DE BAJA DE LICENCIA DE VADO</w:t>
            </w:r>
          </w:p>
        </w:tc>
        <w:tc>
          <w:tcPr>
            <w:tcW w:w="850" w:type="dxa"/>
          </w:tcPr>
          <w:p>
            <w:pPr>
              <w:pStyle w:val="TableParagraph"/>
              <w:spacing w:line="256" w:lineRule="exact"/>
              <w:ind w:left="221" w:right="218"/>
              <w:jc w:val="center"/>
              <w:rPr>
                <w:rFonts w:ascii="Times New Roman"/>
                <w:sz w:val="24"/>
              </w:rPr>
            </w:pPr>
            <w:r>
              <w:rPr>
                <w:rFonts w:ascii="Times New Roman"/>
                <w:sz w:val="24"/>
              </w:rPr>
              <w:t>54</w:t>
            </w:r>
          </w:p>
        </w:tc>
      </w:tr>
      <w:tr>
        <w:trPr>
          <w:trHeight w:val="278" w:hRule="atLeast"/>
        </w:trPr>
        <w:tc>
          <w:tcPr>
            <w:tcW w:w="7653" w:type="dxa"/>
          </w:tcPr>
          <w:p>
            <w:pPr>
              <w:pStyle w:val="TableParagraph"/>
              <w:spacing w:line="257" w:lineRule="exact" w:before="1"/>
              <w:ind w:left="107"/>
              <w:rPr>
                <w:rFonts w:ascii="Times New Roman"/>
                <w:sz w:val="24"/>
              </w:rPr>
            </w:pPr>
            <w:r>
              <w:rPr>
                <w:rFonts w:ascii="Times New Roman"/>
                <w:sz w:val="24"/>
              </w:rPr>
              <w:t>EXPEDIENTES DE BAJA DE RESERVA DE ESTACIONAMIENTO</w:t>
            </w:r>
          </w:p>
        </w:tc>
        <w:tc>
          <w:tcPr>
            <w:tcW w:w="850" w:type="dxa"/>
          </w:tcPr>
          <w:p>
            <w:pPr>
              <w:pStyle w:val="TableParagraph"/>
              <w:spacing w:line="257" w:lineRule="exact" w:before="1"/>
              <w:ind w:left="221" w:right="218"/>
              <w:jc w:val="center"/>
              <w:rPr>
                <w:rFonts w:ascii="Times New Roman"/>
                <w:sz w:val="24"/>
              </w:rPr>
            </w:pPr>
            <w:r>
              <w:rPr>
                <w:rFonts w:ascii="Times New Roman"/>
                <w:sz w:val="24"/>
              </w:rPr>
              <w:t>10</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EXPEDIENTES DE BAJA DE PMR</w:t>
            </w:r>
          </w:p>
        </w:tc>
        <w:tc>
          <w:tcPr>
            <w:tcW w:w="850" w:type="dxa"/>
          </w:tcPr>
          <w:p>
            <w:pPr>
              <w:pStyle w:val="TableParagraph"/>
              <w:spacing w:line="256" w:lineRule="exact"/>
              <w:ind w:left="221" w:right="218"/>
              <w:jc w:val="center"/>
              <w:rPr>
                <w:rFonts w:ascii="Times New Roman"/>
                <w:sz w:val="24"/>
              </w:rPr>
            </w:pPr>
            <w:r>
              <w:rPr>
                <w:rFonts w:ascii="Times New Roman"/>
                <w:sz w:val="24"/>
              </w:rPr>
              <w:t>10</w:t>
            </w:r>
          </w:p>
        </w:tc>
      </w:tr>
      <w:tr>
        <w:trPr>
          <w:trHeight w:val="551" w:hRule="atLeast"/>
        </w:trPr>
        <w:tc>
          <w:tcPr>
            <w:tcW w:w="7653" w:type="dxa"/>
          </w:tcPr>
          <w:p>
            <w:pPr>
              <w:pStyle w:val="TableParagraph"/>
              <w:spacing w:line="276" w:lineRule="exact" w:before="2"/>
              <w:ind w:left="107"/>
              <w:rPr>
                <w:rFonts w:ascii="Times New Roman" w:hAnsi="Times New Roman"/>
                <w:sz w:val="24"/>
              </w:rPr>
            </w:pPr>
            <w:r>
              <w:rPr>
                <w:rFonts w:ascii="Times New Roman" w:hAnsi="Times New Roman"/>
                <w:sz w:val="24"/>
              </w:rPr>
              <w:t>EXPEDIENTES DE AUTORIZACIÓN DE ELEMENTOS EN LA VIA PUBLICA</w:t>
            </w:r>
          </w:p>
        </w:tc>
        <w:tc>
          <w:tcPr>
            <w:tcW w:w="850" w:type="dxa"/>
          </w:tcPr>
          <w:p>
            <w:pPr>
              <w:pStyle w:val="TableParagraph"/>
              <w:spacing w:line="275" w:lineRule="exact"/>
              <w:ind w:left="221" w:right="218"/>
              <w:jc w:val="center"/>
              <w:rPr>
                <w:rFonts w:ascii="Times New Roman"/>
                <w:sz w:val="24"/>
              </w:rPr>
            </w:pPr>
            <w:r>
              <w:rPr>
                <w:rFonts w:ascii="Times New Roman"/>
                <w:sz w:val="24"/>
              </w:rPr>
              <w:t>36</w:t>
            </w:r>
          </w:p>
        </w:tc>
      </w:tr>
    </w:tbl>
    <w:p>
      <w:pPr>
        <w:spacing w:after="0" w:line="275" w:lineRule="exact"/>
        <w:jc w:val="center"/>
        <w:rPr>
          <w:rFonts w:ascii="Times New Roman"/>
          <w:sz w:val="24"/>
        </w:rPr>
        <w:sectPr>
          <w:pgSz w:w="11910" w:h="16840"/>
          <w:pgMar w:header="1217" w:footer="0" w:top="2740" w:bottom="280" w:left="1300" w:right="1440"/>
        </w:sectPr>
      </w:pPr>
    </w:p>
    <w:p>
      <w:pPr>
        <w:pStyle w:val="BodyText"/>
        <w:rPr>
          <w:b/>
          <w:sz w:val="20"/>
        </w:rPr>
      </w:pPr>
    </w:p>
    <w:p>
      <w:pPr>
        <w:pStyle w:val="BodyText"/>
        <w:spacing w:before="3"/>
        <w:rPr>
          <w:b/>
          <w:sz w:val="19"/>
        </w:rPr>
      </w:pPr>
    </w:p>
    <w:p>
      <w:pPr>
        <w:spacing w:before="90"/>
        <w:ind w:left="402" w:right="0" w:firstLine="0"/>
        <w:jc w:val="left"/>
        <w:rPr>
          <w:b/>
          <w:sz w:val="24"/>
        </w:rPr>
      </w:pPr>
      <w:r>
        <w:rPr>
          <w:b/>
          <w:sz w:val="24"/>
        </w:rPr>
        <w:t>ACTIVIDADES (TRAMITADOS)</w:t>
      </w:r>
    </w:p>
    <w:p>
      <w:pPr>
        <w:pStyle w:val="BodyText"/>
        <w:spacing w:before="10" w:after="1"/>
        <w:rPr>
          <w:b/>
          <w:sz w:val="15"/>
        </w:rPr>
      </w:pPr>
    </w:p>
    <w:tbl>
      <w:tblPr>
        <w:tblW w:w="0" w:type="auto"/>
        <w:jc w:val="left"/>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53"/>
        <w:gridCol w:w="850"/>
      </w:tblGrid>
      <w:tr>
        <w:trPr>
          <w:trHeight w:val="551" w:hRule="atLeast"/>
        </w:trPr>
        <w:tc>
          <w:tcPr>
            <w:tcW w:w="7653" w:type="dxa"/>
          </w:tcPr>
          <w:p>
            <w:pPr>
              <w:pStyle w:val="TableParagraph"/>
              <w:spacing w:line="276" w:lineRule="exact" w:before="2"/>
              <w:ind w:left="107"/>
              <w:rPr>
                <w:rFonts w:ascii="Times New Roman" w:hAnsi="Times New Roman"/>
                <w:sz w:val="24"/>
              </w:rPr>
            </w:pPr>
            <w:r>
              <w:rPr>
                <w:rFonts w:ascii="Times New Roman" w:hAnsi="Times New Roman"/>
                <w:sz w:val="24"/>
              </w:rPr>
              <w:t>COMUNICACIÓN PREVIA </w:t>
            </w:r>
            <w:r>
              <w:rPr>
                <w:rFonts w:ascii="Times New Roman" w:hAnsi="Times New Roman"/>
                <w:spacing w:val="-7"/>
                <w:sz w:val="24"/>
              </w:rPr>
              <w:t>PARA </w:t>
            </w:r>
            <w:r>
              <w:rPr>
                <w:rFonts w:ascii="Times New Roman" w:hAnsi="Times New Roman"/>
                <w:spacing w:val="-3"/>
                <w:sz w:val="24"/>
              </w:rPr>
              <w:t>INSTALACIÓN </w:t>
            </w:r>
            <w:r>
              <w:rPr>
                <w:rFonts w:ascii="Times New Roman" w:hAnsi="Times New Roman"/>
                <w:sz w:val="24"/>
              </w:rPr>
              <w:t>DE ACTIVIDAD CLASIFICADA</w:t>
            </w:r>
          </w:p>
        </w:tc>
        <w:tc>
          <w:tcPr>
            <w:tcW w:w="850" w:type="dxa"/>
          </w:tcPr>
          <w:p>
            <w:pPr>
              <w:pStyle w:val="TableParagraph"/>
              <w:spacing w:line="275" w:lineRule="exact"/>
              <w:ind w:left="221" w:right="218"/>
              <w:jc w:val="center"/>
              <w:rPr>
                <w:rFonts w:ascii="Times New Roman"/>
                <w:sz w:val="24"/>
              </w:rPr>
            </w:pPr>
            <w:r>
              <w:rPr>
                <w:rFonts w:ascii="Times New Roman"/>
                <w:sz w:val="24"/>
              </w:rPr>
              <w:t>32</w:t>
            </w:r>
          </w:p>
        </w:tc>
      </w:tr>
      <w:tr>
        <w:trPr>
          <w:trHeight w:val="549" w:hRule="atLeast"/>
        </w:trPr>
        <w:tc>
          <w:tcPr>
            <w:tcW w:w="7653" w:type="dxa"/>
          </w:tcPr>
          <w:p>
            <w:pPr>
              <w:pStyle w:val="TableParagraph"/>
              <w:spacing w:line="276" w:lineRule="exact"/>
              <w:ind w:left="107"/>
              <w:rPr>
                <w:rFonts w:ascii="Times New Roman" w:hAnsi="Times New Roman"/>
                <w:sz w:val="24"/>
              </w:rPr>
            </w:pPr>
            <w:r>
              <w:rPr>
                <w:rFonts w:ascii="Times New Roman" w:hAnsi="Times New Roman"/>
                <w:sz w:val="24"/>
              </w:rPr>
              <w:t>COMUNICACIÓN TRANSMISIÓN DE TITULARIDAD DE ACTIVIDAD CLASIFICADA</w:t>
            </w:r>
          </w:p>
        </w:tc>
        <w:tc>
          <w:tcPr>
            <w:tcW w:w="850" w:type="dxa"/>
          </w:tcPr>
          <w:p>
            <w:pPr>
              <w:pStyle w:val="TableParagraph"/>
              <w:spacing w:line="273" w:lineRule="exact"/>
              <w:ind w:left="221" w:right="218"/>
              <w:jc w:val="center"/>
              <w:rPr>
                <w:rFonts w:ascii="Times New Roman"/>
                <w:sz w:val="24"/>
              </w:rPr>
            </w:pPr>
            <w:r>
              <w:rPr>
                <w:rFonts w:ascii="Times New Roman"/>
                <w:sz w:val="24"/>
              </w:rPr>
              <w:t>25</w:t>
            </w:r>
          </w:p>
        </w:tc>
      </w:tr>
      <w:tr>
        <w:trPr>
          <w:trHeight w:val="548" w:hRule="atLeast"/>
        </w:trPr>
        <w:tc>
          <w:tcPr>
            <w:tcW w:w="7653" w:type="dxa"/>
          </w:tcPr>
          <w:p>
            <w:pPr>
              <w:pStyle w:val="TableParagraph"/>
              <w:spacing w:line="272" w:lineRule="exact"/>
              <w:ind w:left="107"/>
              <w:rPr>
                <w:rFonts w:ascii="Times New Roman" w:hAnsi="Times New Roman"/>
                <w:sz w:val="24"/>
              </w:rPr>
            </w:pPr>
            <w:r>
              <w:rPr>
                <w:rFonts w:ascii="Times New Roman" w:hAnsi="Times New Roman"/>
                <w:sz w:val="24"/>
              </w:rPr>
              <w:t>COMUNICACIÓN TRANSMISIÓN DE TITULARIDAD DE ACTIVIDAD</w:t>
            </w:r>
          </w:p>
          <w:p>
            <w:pPr>
              <w:pStyle w:val="TableParagraph"/>
              <w:spacing w:line="257" w:lineRule="exact"/>
              <w:ind w:left="107"/>
              <w:rPr>
                <w:rFonts w:ascii="Times New Roman"/>
                <w:sz w:val="24"/>
              </w:rPr>
            </w:pPr>
            <w:r>
              <w:rPr>
                <w:rFonts w:ascii="Times New Roman"/>
                <w:sz w:val="24"/>
              </w:rPr>
              <w:t>INOCUA</w:t>
            </w:r>
          </w:p>
        </w:tc>
        <w:tc>
          <w:tcPr>
            <w:tcW w:w="850" w:type="dxa"/>
          </w:tcPr>
          <w:p>
            <w:pPr>
              <w:pStyle w:val="TableParagraph"/>
              <w:spacing w:line="272" w:lineRule="exact"/>
              <w:ind w:left="221" w:right="218"/>
              <w:jc w:val="center"/>
              <w:rPr>
                <w:rFonts w:ascii="Times New Roman"/>
                <w:sz w:val="24"/>
              </w:rPr>
            </w:pPr>
            <w:r>
              <w:rPr>
                <w:rFonts w:ascii="Times New Roman"/>
                <w:sz w:val="24"/>
              </w:rPr>
              <w:t>25</w:t>
            </w:r>
          </w:p>
        </w:tc>
      </w:tr>
      <w:tr>
        <w:trPr>
          <w:trHeight w:val="276" w:hRule="atLeast"/>
        </w:trPr>
        <w:tc>
          <w:tcPr>
            <w:tcW w:w="7653" w:type="dxa"/>
          </w:tcPr>
          <w:p>
            <w:pPr>
              <w:pStyle w:val="TableParagraph"/>
              <w:spacing w:line="256" w:lineRule="exact"/>
              <w:ind w:left="107"/>
              <w:rPr>
                <w:rFonts w:ascii="Times New Roman" w:hAnsi="Times New Roman"/>
                <w:sz w:val="24"/>
              </w:rPr>
            </w:pPr>
            <w:r>
              <w:rPr>
                <w:rFonts w:ascii="Times New Roman" w:hAnsi="Times New Roman"/>
                <w:sz w:val="24"/>
              </w:rPr>
              <w:t>AUTORIZACIÓN DE ESPECTÁCULOS PÚBLICOS-</w:t>
            </w:r>
          </w:p>
        </w:tc>
        <w:tc>
          <w:tcPr>
            <w:tcW w:w="850" w:type="dxa"/>
          </w:tcPr>
          <w:p>
            <w:pPr>
              <w:pStyle w:val="TableParagraph"/>
              <w:spacing w:line="256" w:lineRule="exact"/>
              <w:ind w:left="221" w:right="218"/>
              <w:jc w:val="center"/>
              <w:rPr>
                <w:rFonts w:ascii="Times New Roman"/>
                <w:sz w:val="24"/>
              </w:rPr>
            </w:pPr>
            <w:r>
              <w:rPr>
                <w:rFonts w:ascii="Times New Roman"/>
                <w:sz w:val="24"/>
              </w:rPr>
              <w:t>42</w:t>
            </w:r>
          </w:p>
        </w:tc>
      </w:tr>
      <w:tr>
        <w:trPr>
          <w:trHeight w:val="774" w:hRule="atLeast"/>
        </w:trPr>
        <w:tc>
          <w:tcPr>
            <w:tcW w:w="7653" w:type="dxa"/>
          </w:tcPr>
          <w:p>
            <w:pPr>
              <w:pStyle w:val="TableParagraph"/>
              <w:spacing w:line="240" w:lineRule="auto"/>
              <w:ind w:left="107" w:right="609"/>
              <w:rPr>
                <w:rFonts w:ascii="Times New Roman" w:hAnsi="Times New Roman"/>
                <w:sz w:val="24"/>
              </w:rPr>
            </w:pPr>
            <w:r>
              <w:rPr>
                <w:rFonts w:ascii="Times New Roman" w:hAnsi="Times New Roman"/>
                <w:sz w:val="24"/>
              </w:rPr>
              <w:t>COMUNICACIÓN PREVIA PARA EL EJERCICIO DE ACTIVIDAD INOCUA</w:t>
            </w:r>
          </w:p>
        </w:tc>
        <w:tc>
          <w:tcPr>
            <w:tcW w:w="850" w:type="dxa"/>
          </w:tcPr>
          <w:p>
            <w:pPr>
              <w:pStyle w:val="TableParagraph"/>
              <w:spacing w:line="275" w:lineRule="exact"/>
              <w:ind w:left="3"/>
              <w:jc w:val="center"/>
              <w:rPr>
                <w:rFonts w:ascii="Times New Roman"/>
                <w:sz w:val="24"/>
              </w:rPr>
            </w:pPr>
            <w:r>
              <w:rPr>
                <w:rFonts w:ascii="Times New Roman"/>
                <w:sz w:val="24"/>
              </w:rPr>
              <w:t>9</w:t>
            </w:r>
          </w:p>
        </w:tc>
      </w:tr>
      <w:tr>
        <w:trPr>
          <w:trHeight w:val="551" w:hRule="atLeast"/>
        </w:trPr>
        <w:tc>
          <w:tcPr>
            <w:tcW w:w="7653" w:type="dxa"/>
          </w:tcPr>
          <w:p>
            <w:pPr>
              <w:pStyle w:val="TableParagraph"/>
              <w:spacing w:line="276" w:lineRule="exact" w:before="2"/>
              <w:ind w:left="107" w:right="42"/>
              <w:rPr>
                <w:rFonts w:ascii="Times New Roman" w:hAnsi="Times New Roman"/>
                <w:sz w:val="24"/>
              </w:rPr>
            </w:pPr>
            <w:r>
              <w:rPr>
                <w:rFonts w:ascii="Times New Roman" w:hAnsi="Times New Roman"/>
                <w:sz w:val="24"/>
              </w:rPr>
              <w:t>COMUNICACIÓN PREVIA DE ACTIVIDAD CLASIFICADA VIVIENDA VACACIONAL</w:t>
            </w:r>
          </w:p>
        </w:tc>
        <w:tc>
          <w:tcPr>
            <w:tcW w:w="850" w:type="dxa"/>
          </w:tcPr>
          <w:p>
            <w:pPr>
              <w:pStyle w:val="TableParagraph"/>
              <w:spacing w:line="275" w:lineRule="exact"/>
              <w:ind w:left="221" w:right="218"/>
              <w:jc w:val="center"/>
              <w:rPr>
                <w:rFonts w:ascii="Times New Roman"/>
                <w:sz w:val="24"/>
              </w:rPr>
            </w:pPr>
            <w:r>
              <w:rPr>
                <w:rFonts w:ascii="Times New Roman"/>
                <w:sz w:val="24"/>
              </w:rPr>
              <w:t>865</w:t>
            </w:r>
          </w:p>
        </w:tc>
      </w:tr>
      <w:tr>
        <w:trPr>
          <w:trHeight w:val="273" w:hRule="atLeast"/>
        </w:trPr>
        <w:tc>
          <w:tcPr>
            <w:tcW w:w="7653" w:type="dxa"/>
          </w:tcPr>
          <w:p>
            <w:pPr>
              <w:pStyle w:val="TableParagraph"/>
              <w:spacing w:line="253" w:lineRule="exact"/>
              <w:ind w:left="107"/>
              <w:rPr>
                <w:rFonts w:ascii="Times New Roman"/>
                <w:sz w:val="24"/>
              </w:rPr>
            </w:pPr>
            <w:r>
              <w:rPr>
                <w:rFonts w:ascii="Times New Roman"/>
                <w:sz w:val="24"/>
              </w:rPr>
              <w:t>REGISTRO DE DECLARACION RESPONSABLE VV</w:t>
            </w:r>
          </w:p>
        </w:tc>
        <w:tc>
          <w:tcPr>
            <w:tcW w:w="850" w:type="dxa"/>
          </w:tcPr>
          <w:p>
            <w:pPr>
              <w:pStyle w:val="TableParagraph"/>
              <w:spacing w:line="253" w:lineRule="exact"/>
              <w:ind w:left="221" w:right="218"/>
              <w:jc w:val="center"/>
              <w:rPr>
                <w:rFonts w:ascii="Times New Roman"/>
                <w:sz w:val="24"/>
              </w:rPr>
            </w:pPr>
            <w:r>
              <w:rPr>
                <w:rFonts w:ascii="Times New Roman"/>
                <w:sz w:val="24"/>
              </w:rPr>
              <w:t>19</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CONTRATOS MENORES</w:t>
            </w:r>
          </w:p>
        </w:tc>
        <w:tc>
          <w:tcPr>
            <w:tcW w:w="850" w:type="dxa"/>
          </w:tcPr>
          <w:p>
            <w:pPr>
              <w:pStyle w:val="TableParagraph"/>
              <w:spacing w:line="256" w:lineRule="exact"/>
              <w:ind w:left="221" w:right="218"/>
              <w:jc w:val="center"/>
              <w:rPr>
                <w:rFonts w:ascii="Times New Roman"/>
                <w:sz w:val="24"/>
              </w:rPr>
            </w:pPr>
            <w:r>
              <w:rPr>
                <w:rFonts w:ascii="Times New Roman"/>
                <w:sz w:val="24"/>
              </w:rPr>
              <w:t>46</w:t>
            </w:r>
          </w:p>
        </w:tc>
      </w:tr>
      <w:tr>
        <w:trPr>
          <w:trHeight w:val="275" w:hRule="atLeast"/>
        </w:trPr>
        <w:tc>
          <w:tcPr>
            <w:tcW w:w="7653" w:type="dxa"/>
          </w:tcPr>
          <w:p>
            <w:pPr>
              <w:pStyle w:val="TableParagraph"/>
              <w:spacing w:line="256" w:lineRule="exact"/>
              <w:ind w:left="107"/>
              <w:rPr>
                <w:rFonts w:ascii="Times New Roman"/>
                <w:sz w:val="24"/>
              </w:rPr>
            </w:pPr>
            <w:r>
              <w:rPr>
                <w:rFonts w:ascii="Times New Roman"/>
                <w:sz w:val="24"/>
              </w:rPr>
              <w:t>DECLARACION RESPONSABLE CESE DE ACTIVIDADES</w:t>
            </w:r>
          </w:p>
        </w:tc>
        <w:tc>
          <w:tcPr>
            <w:tcW w:w="850" w:type="dxa"/>
          </w:tcPr>
          <w:p>
            <w:pPr>
              <w:pStyle w:val="TableParagraph"/>
              <w:spacing w:line="256" w:lineRule="exact"/>
              <w:ind w:left="221" w:right="218"/>
              <w:jc w:val="center"/>
              <w:rPr>
                <w:rFonts w:ascii="Times New Roman"/>
                <w:sz w:val="24"/>
              </w:rPr>
            </w:pPr>
            <w:r>
              <w:rPr>
                <w:rFonts w:ascii="Times New Roman"/>
                <w:sz w:val="24"/>
              </w:rPr>
              <w:t>12</w:t>
            </w:r>
          </w:p>
        </w:tc>
      </w:tr>
      <w:tr>
        <w:trPr>
          <w:trHeight w:val="277" w:hRule="atLeast"/>
        </w:trPr>
        <w:tc>
          <w:tcPr>
            <w:tcW w:w="7653" w:type="dxa"/>
          </w:tcPr>
          <w:p>
            <w:pPr>
              <w:pStyle w:val="TableParagraph"/>
              <w:spacing w:line="257" w:lineRule="exact" w:before="1"/>
              <w:ind w:left="107"/>
              <w:rPr>
                <w:rFonts w:ascii="Times New Roman"/>
                <w:sz w:val="24"/>
              </w:rPr>
            </w:pPr>
            <w:r>
              <w:rPr>
                <w:rFonts w:ascii="Times New Roman"/>
                <w:sz w:val="24"/>
              </w:rPr>
              <w:t>INFORME DE USO DE VIAS PUBLICAS</w:t>
            </w:r>
          </w:p>
        </w:tc>
        <w:tc>
          <w:tcPr>
            <w:tcW w:w="850" w:type="dxa"/>
          </w:tcPr>
          <w:p>
            <w:pPr>
              <w:pStyle w:val="TableParagraph"/>
              <w:spacing w:line="257" w:lineRule="exact" w:before="1"/>
              <w:ind w:left="221" w:right="218"/>
              <w:jc w:val="center"/>
              <w:rPr>
                <w:rFonts w:ascii="Times New Roman"/>
                <w:sz w:val="24"/>
              </w:rPr>
            </w:pPr>
            <w:r>
              <w:rPr>
                <w:rFonts w:ascii="Times New Roman"/>
                <w:sz w:val="24"/>
              </w:rPr>
              <w:t>13</w:t>
            </w:r>
          </w:p>
        </w:tc>
      </w:tr>
    </w:tbl>
    <w:p>
      <w:pPr>
        <w:pStyle w:val="BodyText"/>
        <w:rPr>
          <w:b/>
          <w:sz w:val="26"/>
        </w:rPr>
      </w:pPr>
    </w:p>
    <w:p>
      <w:pPr>
        <w:pStyle w:val="BodyText"/>
        <w:rPr>
          <w:b/>
          <w:sz w:val="26"/>
        </w:rPr>
      </w:pPr>
    </w:p>
    <w:p>
      <w:pPr>
        <w:pStyle w:val="BodyText"/>
        <w:spacing w:before="5"/>
        <w:rPr>
          <w:b/>
          <w:sz w:val="27"/>
        </w:rPr>
      </w:pPr>
    </w:p>
    <w:p>
      <w:pPr>
        <w:spacing w:before="0"/>
        <w:ind w:left="402" w:right="0" w:firstLine="0"/>
        <w:jc w:val="left"/>
        <w:rPr>
          <w:b/>
          <w:sz w:val="24"/>
        </w:rPr>
      </w:pPr>
      <w:r>
        <w:rPr>
          <w:b/>
          <w:sz w:val="24"/>
        </w:rPr>
        <w:t>8.- UNIDAD DE RECURSOS HUMANOS</w:t>
      </w:r>
    </w:p>
    <w:p>
      <w:pPr>
        <w:pStyle w:val="BodyText"/>
        <w:rPr>
          <w:b/>
          <w:sz w:val="26"/>
        </w:rPr>
      </w:pPr>
    </w:p>
    <w:p>
      <w:pPr>
        <w:pStyle w:val="BodyText"/>
        <w:spacing w:before="9"/>
        <w:rPr>
          <w:b/>
          <w:sz w:val="29"/>
        </w:rPr>
      </w:pPr>
    </w:p>
    <w:p>
      <w:pPr>
        <w:spacing w:before="0"/>
        <w:ind w:left="402" w:right="0" w:firstLine="0"/>
        <w:jc w:val="left"/>
        <w:rPr>
          <w:rFonts w:ascii="Calibri" w:hAnsi="Calibri"/>
          <w:b/>
          <w:sz w:val="28"/>
        </w:rPr>
      </w:pPr>
      <w:r>
        <w:rPr>
          <w:rFonts w:ascii="Calibri" w:hAnsi="Calibri"/>
          <w:b/>
          <w:sz w:val="28"/>
          <w:u w:val="single"/>
        </w:rPr>
        <w:t>Memoria Anual de Gestión de RRHH 2025</w:t>
      </w:r>
    </w:p>
    <w:p>
      <w:pPr>
        <w:pStyle w:val="ListParagraph"/>
        <w:numPr>
          <w:ilvl w:val="1"/>
          <w:numId w:val="5"/>
        </w:numPr>
        <w:tabs>
          <w:tab w:pos="1121" w:val="left" w:leader="none"/>
          <w:tab w:pos="1122" w:val="left" w:leader="none"/>
        </w:tabs>
        <w:spacing w:line="240" w:lineRule="auto" w:before="186" w:after="0"/>
        <w:ind w:left="1122" w:right="0" w:hanging="361"/>
        <w:jc w:val="left"/>
        <w:rPr>
          <w:rFonts w:ascii="Calibri" w:hAnsi="Calibri"/>
          <w:sz w:val="22"/>
        </w:rPr>
      </w:pPr>
      <w:r>
        <w:rPr>
          <w:rFonts w:ascii="Calibri" w:hAnsi="Calibri"/>
          <w:sz w:val="22"/>
        </w:rPr>
        <w:t>Tramitados</w:t>
      </w:r>
      <w:r>
        <w:rPr>
          <w:rFonts w:ascii="Calibri" w:hAnsi="Calibri"/>
          <w:spacing w:val="47"/>
          <w:sz w:val="22"/>
        </w:rPr>
        <w:t> </w:t>
      </w:r>
      <w:r>
        <w:rPr>
          <w:rFonts w:ascii="Calibri" w:hAnsi="Calibri"/>
          <w:sz w:val="22"/>
        </w:rPr>
        <w:t>343</w:t>
      </w:r>
    </w:p>
    <w:p>
      <w:pPr>
        <w:pStyle w:val="ListParagraph"/>
        <w:numPr>
          <w:ilvl w:val="1"/>
          <w:numId w:val="5"/>
        </w:numPr>
        <w:tabs>
          <w:tab w:pos="1121" w:val="left" w:leader="none"/>
          <w:tab w:pos="1122" w:val="left" w:leader="none"/>
          <w:tab w:pos="2225" w:val="left" w:leader="none"/>
        </w:tabs>
        <w:spacing w:line="240" w:lineRule="auto" w:before="22" w:after="0"/>
        <w:ind w:left="1122" w:right="0" w:hanging="361"/>
        <w:jc w:val="left"/>
        <w:rPr>
          <w:rFonts w:ascii="Calibri" w:hAnsi="Calibri"/>
          <w:sz w:val="22"/>
        </w:rPr>
      </w:pPr>
      <w:r>
        <w:rPr>
          <w:rFonts w:ascii="Calibri" w:hAnsi="Calibri"/>
          <w:sz w:val="22"/>
        </w:rPr>
        <w:t>Abiertos</w:t>
        <w:tab/>
        <w:t>101</w:t>
      </w:r>
    </w:p>
    <w:p>
      <w:pPr>
        <w:pStyle w:val="ListParagraph"/>
        <w:numPr>
          <w:ilvl w:val="1"/>
          <w:numId w:val="5"/>
        </w:numPr>
        <w:tabs>
          <w:tab w:pos="1121" w:val="left" w:leader="none"/>
          <w:tab w:pos="1122" w:val="left" w:leader="none"/>
        </w:tabs>
        <w:spacing w:line="240" w:lineRule="auto" w:before="20" w:after="0"/>
        <w:ind w:left="1122" w:right="0" w:hanging="361"/>
        <w:jc w:val="left"/>
        <w:rPr>
          <w:rFonts w:ascii="Calibri" w:hAnsi="Calibri"/>
          <w:sz w:val="22"/>
        </w:rPr>
      </w:pPr>
      <w:r>
        <w:rPr>
          <w:rFonts w:ascii="Calibri" w:hAnsi="Calibri"/>
          <w:sz w:val="22"/>
        </w:rPr>
        <w:t>Finalizados</w:t>
      </w:r>
      <w:r>
        <w:rPr>
          <w:rFonts w:ascii="Calibri" w:hAnsi="Calibri"/>
          <w:spacing w:val="48"/>
          <w:sz w:val="22"/>
        </w:rPr>
        <w:t> </w:t>
      </w:r>
      <w:r>
        <w:rPr>
          <w:rFonts w:ascii="Calibri" w:hAnsi="Calibri"/>
          <w:sz w:val="22"/>
        </w:rPr>
        <w:t>242</w:t>
      </w:r>
    </w:p>
    <w:p>
      <w:pPr>
        <w:pStyle w:val="BodyText"/>
        <w:rPr>
          <w:rFonts w:ascii="Calibri"/>
          <w:sz w:val="28"/>
        </w:rPr>
      </w:pPr>
    </w:p>
    <w:p>
      <w:pPr>
        <w:pStyle w:val="BodyText"/>
        <w:rPr>
          <w:rFonts w:ascii="Calibri"/>
          <w:sz w:val="28"/>
        </w:rPr>
      </w:pPr>
    </w:p>
    <w:p>
      <w:pPr>
        <w:pStyle w:val="BodyText"/>
        <w:spacing w:before="10"/>
        <w:rPr>
          <w:rFonts w:ascii="Calibri"/>
          <w:sz w:val="33"/>
        </w:rPr>
      </w:pPr>
    </w:p>
    <w:p>
      <w:pPr>
        <w:pStyle w:val="Heading4"/>
        <w:spacing w:before="1"/>
      </w:pPr>
      <w:r>
        <w:rPr/>
        <w:t>9.- UNIDAD DE CONTRATACIÓN</w:t>
      </w:r>
    </w:p>
    <w:p>
      <w:pPr>
        <w:pStyle w:val="BodyText"/>
        <w:rPr>
          <w:b/>
          <w:sz w:val="26"/>
        </w:rPr>
      </w:pPr>
    </w:p>
    <w:p>
      <w:pPr>
        <w:pStyle w:val="BodyText"/>
        <w:spacing w:before="9"/>
        <w:rPr>
          <w:b/>
          <w:sz w:val="29"/>
        </w:rPr>
      </w:pPr>
    </w:p>
    <w:p>
      <w:pPr>
        <w:spacing w:before="1"/>
        <w:ind w:left="402" w:right="0" w:firstLine="0"/>
        <w:jc w:val="left"/>
        <w:rPr>
          <w:sz w:val="28"/>
        </w:rPr>
      </w:pPr>
      <w:r>
        <w:rPr>
          <w:color w:val="FF0000"/>
          <w:sz w:val="28"/>
        </w:rPr>
        <w:t>INFORMACIÓN NO SUMINISTRADA</w:t>
      </w:r>
    </w:p>
    <w:p>
      <w:pPr>
        <w:spacing w:after="0"/>
        <w:jc w:val="left"/>
        <w:rPr>
          <w:sz w:val="28"/>
        </w:rPr>
        <w:sectPr>
          <w:pgSz w:w="11910" w:h="16840"/>
          <w:pgMar w:header="1217" w:footer="0" w:top="2740" w:bottom="280" w:left="1300" w:right="1440"/>
        </w:sectPr>
      </w:pPr>
    </w:p>
    <w:p>
      <w:pPr>
        <w:pStyle w:val="BodyText"/>
        <w:rPr>
          <w:sz w:val="20"/>
        </w:rPr>
      </w:pPr>
    </w:p>
    <w:p>
      <w:pPr>
        <w:pStyle w:val="BodyText"/>
        <w:rPr>
          <w:sz w:val="20"/>
        </w:rPr>
      </w:pPr>
    </w:p>
    <w:p>
      <w:pPr>
        <w:pStyle w:val="BodyText"/>
        <w:spacing w:before="8"/>
      </w:pPr>
    </w:p>
    <w:p>
      <w:pPr>
        <w:spacing w:before="90"/>
        <w:ind w:left="402" w:right="0" w:firstLine="0"/>
        <w:jc w:val="left"/>
        <w:rPr>
          <w:b/>
          <w:sz w:val="24"/>
        </w:rPr>
      </w:pPr>
      <w:r>
        <w:rPr>
          <w:b/>
          <w:sz w:val="24"/>
        </w:rPr>
        <w:t>10.- UNIDAD DE POLICÍA LOCAL Y SEGURIDAD CIUDADANA.</w:t>
      </w:r>
    </w:p>
    <w:p>
      <w:pPr>
        <w:pStyle w:val="BodyText"/>
        <w:rPr>
          <w:b/>
          <w:sz w:val="20"/>
        </w:rPr>
      </w:pPr>
    </w:p>
    <w:p>
      <w:pPr>
        <w:pStyle w:val="BodyText"/>
        <w:spacing w:before="6"/>
        <w:rPr>
          <w:b/>
          <w:sz w:val="16"/>
        </w:rPr>
      </w:pPr>
      <w:r>
        <w:rPr/>
        <w:drawing>
          <wp:anchor distT="0" distB="0" distL="0" distR="0" allowOverlap="1" layoutInCell="1" locked="0" behindDoc="0" simplePos="0" relativeHeight="5">
            <wp:simplePos x="0" y="0"/>
            <wp:positionH relativeFrom="page">
              <wp:posOffset>1080135</wp:posOffset>
            </wp:positionH>
            <wp:positionV relativeFrom="paragraph">
              <wp:posOffset>145608</wp:posOffset>
            </wp:positionV>
            <wp:extent cx="5397138" cy="3800475"/>
            <wp:effectExtent l="0" t="0" r="0" b="0"/>
            <wp:wrapTopAndBottom/>
            <wp:docPr id="33" name="image17.png"/>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5397138" cy="3800475"/>
                    </a:xfrm>
                    <a:prstGeom prst="rect">
                      <a:avLst/>
                    </a:prstGeom>
                  </pic:spPr>
                </pic:pic>
              </a:graphicData>
            </a:graphic>
          </wp:anchor>
        </w:drawing>
      </w:r>
    </w:p>
    <w:p>
      <w:pPr>
        <w:spacing w:after="0"/>
        <w:rPr>
          <w:sz w:val="16"/>
        </w:rPr>
        <w:sectPr>
          <w:pgSz w:w="11910" w:h="16840"/>
          <w:pgMar w:header="1217" w:footer="0" w:top="2740" w:bottom="280" w:left="1300" w:right="1440"/>
        </w:sect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before="90"/>
        <w:ind w:left="402" w:right="0" w:firstLine="0"/>
        <w:jc w:val="left"/>
        <w:rPr>
          <w:b/>
          <w:sz w:val="24"/>
        </w:rPr>
      </w:pPr>
      <w:r>
        <w:rPr>
          <w:b/>
          <w:sz w:val="24"/>
        </w:rPr>
        <w:t>11.- UNIDAD DE FOMENTO Y SERVICIOS A LA CIUDADANÍA.</w:t>
      </w:r>
    </w:p>
    <w:p>
      <w:pPr>
        <w:pStyle w:val="BodyText"/>
        <w:rPr>
          <w:b/>
          <w:sz w:val="26"/>
        </w:rPr>
      </w:pPr>
    </w:p>
    <w:p>
      <w:pPr>
        <w:pStyle w:val="BodyText"/>
        <w:spacing w:before="7"/>
        <w:rPr>
          <w:b/>
          <w:sz w:val="29"/>
        </w:rPr>
      </w:pPr>
    </w:p>
    <w:p>
      <w:pPr>
        <w:spacing w:before="0"/>
        <w:ind w:left="402" w:right="0" w:firstLine="0"/>
        <w:jc w:val="left"/>
        <w:rPr>
          <w:b/>
          <w:sz w:val="26"/>
        </w:rPr>
      </w:pPr>
      <w:r>
        <w:rPr>
          <w:b/>
          <w:sz w:val="26"/>
          <w:u w:val="thick"/>
        </w:rPr>
        <w:t>TURISMO</w:t>
      </w:r>
    </w:p>
    <w:p>
      <w:pPr>
        <w:pStyle w:val="BodyText"/>
        <w:spacing w:before="7"/>
        <w:rPr>
          <w:b/>
          <w:sz w:val="19"/>
        </w:rPr>
      </w:pPr>
      <w:r>
        <w:rPr/>
        <w:drawing>
          <wp:anchor distT="0" distB="0" distL="0" distR="0" allowOverlap="1" layoutInCell="1" locked="0" behindDoc="0" simplePos="0" relativeHeight="6">
            <wp:simplePos x="0" y="0"/>
            <wp:positionH relativeFrom="page">
              <wp:posOffset>1102236</wp:posOffset>
            </wp:positionH>
            <wp:positionV relativeFrom="paragraph">
              <wp:posOffset>168262</wp:posOffset>
            </wp:positionV>
            <wp:extent cx="5068681" cy="2941034"/>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5068681" cy="2941034"/>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1118056</wp:posOffset>
            </wp:positionH>
            <wp:positionV relativeFrom="paragraph">
              <wp:posOffset>3362819</wp:posOffset>
            </wp:positionV>
            <wp:extent cx="5257124" cy="1318260"/>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5" cstate="print"/>
                    <a:stretch>
                      <a:fillRect/>
                    </a:stretch>
                  </pic:blipFill>
                  <pic:spPr>
                    <a:xfrm>
                      <a:off x="0" y="0"/>
                      <a:ext cx="5257124" cy="1318260"/>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1133449</wp:posOffset>
            </wp:positionH>
            <wp:positionV relativeFrom="paragraph">
              <wp:posOffset>4899371</wp:posOffset>
            </wp:positionV>
            <wp:extent cx="5193304" cy="790098"/>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6" cstate="print"/>
                    <a:stretch>
                      <a:fillRect/>
                    </a:stretch>
                  </pic:blipFill>
                  <pic:spPr>
                    <a:xfrm>
                      <a:off x="0" y="0"/>
                      <a:ext cx="5193304" cy="790098"/>
                    </a:xfrm>
                    <a:prstGeom prst="rect">
                      <a:avLst/>
                    </a:prstGeom>
                  </pic:spPr>
                </pic:pic>
              </a:graphicData>
            </a:graphic>
          </wp:anchor>
        </w:drawing>
      </w:r>
    </w:p>
    <w:p>
      <w:pPr>
        <w:pStyle w:val="BodyText"/>
        <w:spacing w:before="9"/>
        <w:rPr>
          <w:b/>
          <w:sz w:val="28"/>
        </w:rPr>
      </w:pPr>
    </w:p>
    <w:p>
      <w:pPr>
        <w:pStyle w:val="BodyText"/>
        <w:spacing w:before="11"/>
        <w:rPr>
          <w:b/>
          <w:sz w:val="23"/>
        </w:rPr>
      </w:pPr>
    </w:p>
    <w:p>
      <w:pPr>
        <w:spacing w:after="0"/>
        <w:rPr>
          <w:sz w:val="23"/>
        </w:rPr>
        <w:sectPr>
          <w:pgSz w:w="11910" w:h="16840"/>
          <w:pgMar w:header="1217" w:footer="0" w:top="2740" w:bottom="280" w:left="1300" w:right="1440"/>
        </w:sectPr>
      </w:pPr>
    </w:p>
    <w:p>
      <w:pPr>
        <w:pStyle w:val="BodyText"/>
        <w:rPr>
          <w:b/>
          <w:sz w:val="20"/>
        </w:rPr>
      </w:pPr>
    </w:p>
    <w:p>
      <w:pPr>
        <w:pStyle w:val="BodyText"/>
        <w:spacing w:before="2"/>
        <w:rPr>
          <w:b/>
          <w:sz w:val="29"/>
        </w:rPr>
      </w:pPr>
    </w:p>
    <w:p>
      <w:pPr>
        <w:pStyle w:val="BodyText"/>
        <w:ind w:left="484"/>
        <w:rPr>
          <w:sz w:val="20"/>
        </w:rPr>
      </w:pPr>
      <w:r>
        <w:rPr>
          <w:sz w:val="20"/>
        </w:rPr>
        <w:drawing>
          <wp:inline distT="0" distB="0" distL="0" distR="0">
            <wp:extent cx="5266432" cy="2209800"/>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7" cstate="print"/>
                    <a:stretch>
                      <a:fillRect/>
                    </a:stretch>
                  </pic:blipFill>
                  <pic:spPr>
                    <a:xfrm>
                      <a:off x="0" y="0"/>
                      <a:ext cx="5266432" cy="2209800"/>
                    </a:xfrm>
                    <a:prstGeom prst="rect">
                      <a:avLst/>
                    </a:prstGeom>
                  </pic:spPr>
                </pic:pic>
              </a:graphicData>
            </a:graphic>
          </wp:inline>
        </w:drawing>
      </w:r>
      <w:r>
        <w:rPr>
          <w:sz w:val="20"/>
        </w:rPr>
      </w:r>
    </w:p>
    <w:p>
      <w:pPr>
        <w:pStyle w:val="BodyText"/>
        <w:spacing w:before="5"/>
        <w:rPr>
          <w:b/>
          <w:sz w:val="26"/>
        </w:rPr>
      </w:pPr>
      <w:r>
        <w:rPr/>
        <w:drawing>
          <wp:anchor distT="0" distB="0" distL="0" distR="0" allowOverlap="1" layoutInCell="1" locked="0" behindDoc="0" simplePos="0" relativeHeight="9">
            <wp:simplePos x="0" y="0"/>
            <wp:positionH relativeFrom="page">
              <wp:posOffset>1087838</wp:posOffset>
            </wp:positionH>
            <wp:positionV relativeFrom="paragraph">
              <wp:posOffset>218314</wp:posOffset>
            </wp:positionV>
            <wp:extent cx="5324632" cy="2237422"/>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8" cstate="print"/>
                    <a:stretch>
                      <a:fillRect/>
                    </a:stretch>
                  </pic:blipFill>
                  <pic:spPr>
                    <a:xfrm>
                      <a:off x="0" y="0"/>
                      <a:ext cx="5324632" cy="2237422"/>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1089660</wp:posOffset>
            </wp:positionH>
            <wp:positionV relativeFrom="paragraph">
              <wp:posOffset>2663327</wp:posOffset>
            </wp:positionV>
            <wp:extent cx="5210174" cy="600075"/>
            <wp:effectExtent l="0" t="0" r="0" b="0"/>
            <wp:wrapTopAndBottom/>
            <wp:docPr id="45" name="image23.png"/>
            <wp:cNvGraphicFramePr>
              <a:graphicFrameLocks noChangeAspect="1"/>
            </wp:cNvGraphicFramePr>
            <a:graphic>
              <a:graphicData uri="http://schemas.openxmlformats.org/drawingml/2006/picture">
                <pic:pic>
                  <pic:nvPicPr>
                    <pic:cNvPr id="46" name="image23.png"/>
                    <pic:cNvPicPr/>
                  </pic:nvPicPr>
                  <pic:blipFill>
                    <a:blip r:embed="rId29" cstate="print"/>
                    <a:stretch>
                      <a:fillRect/>
                    </a:stretch>
                  </pic:blipFill>
                  <pic:spPr>
                    <a:xfrm>
                      <a:off x="0" y="0"/>
                      <a:ext cx="5210174" cy="600075"/>
                    </a:xfrm>
                    <a:prstGeom prst="rect">
                      <a:avLst/>
                    </a:prstGeom>
                  </pic:spPr>
                </pic:pic>
              </a:graphicData>
            </a:graphic>
          </wp:anchor>
        </w:drawing>
      </w:r>
    </w:p>
    <w:p>
      <w:pPr>
        <w:pStyle w:val="BodyText"/>
        <w:spacing w:before="5"/>
        <w:rPr>
          <w:b/>
          <w:sz w:val="22"/>
        </w:rPr>
      </w:pPr>
    </w:p>
    <w:p>
      <w:pPr>
        <w:pStyle w:val="BodyText"/>
        <w:rPr>
          <w:b/>
          <w:sz w:val="20"/>
        </w:rPr>
      </w:pPr>
    </w:p>
    <w:p>
      <w:pPr>
        <w:pStyle w:val="BodyText"/>
        <w:spacing w:before="5"/>
        <w:rPr>
          <w:b/>
          <w:sz w:val="17"/>
        </w:rPr>
      </w:pPr>
      <w:r>
        <w:rPr/>
        <w:drawing>
          <wp:anchor distT="0" distB="0" distL="0" distR="0" allowOverlap="1" layoutInCell="1" locked="0" behindDoc="0" simplePos="0" relativeHeight="11">
            <wp:simplePos x="0" y="0"/>
            <wp:positionH relativeFrom="page">
              <wp:posOffset>1185428</wp:posOffset>
            </wp:positionH>
            <wp:positionV relativeFrom="paragraph">
              <wp:posOffset>152658</wp:posOffset>
            </wp:positionV>
            <wp:extent cx="5138039" cy="950976"/>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30" cstate="print"/>
                    <a:stretch>
                      <a:fillRect/>
                    </a:stretch>
                  </pic:blipFill>
                  <pic:spPr>
                    <a:xfrm>
                      <a:off x="0" y="0"/>
                      <a:ext cx="5138039" cy="950976"/>
                    </a:xfrm>
                    <a:prstGeom prst="rect">
                      <a:avLst/>
                    </a:prstGeom>
                  </pic:spPr>
                </pic:pic>
              </a:graphicData>
            </a:graphic>
          </wp:anchor>
        </w:drawing>
      </w:r>
    </w:p>
    <w:p>
      <w:pPr>
        <w:spacing w:after="0"/>
        <w:rPr>
          <w:sz w:val="17"/>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259459" cy="1516379"/>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31" cstate="print"/>
                    <a:stretch>
                      <a:fillRect/>
                    </a:stretch>
                  </pic:blipFill>
                  <pic:spPr>
                    <a:xfrm>
                      <a:off x="0" y="0"/>
                      <a:ext cx="5259459" cy="1516379"/>
                    </a:xfrm>
                    <a:prstGeom prst="rect">
                      <a:avLst/>
                    </a:prstGeom>
                  </pic:spPr>
                </pic:pic>
              </a:graphicData>
            </a:graphic>
          </wp:inline>
        </w:drawing>
      </w:r>
      <w:r>
        <w:rPr>
          <w:sz w:val="20"/>
        </w:rPr>
      </w:r>
    </w:p>
    <w:p>
      <w:pPr>
        <w:pStyle w:val="BodyText"/>
        <w:rPr>
          <w:b/>
          <w:sz w:val="20"/>
        </w:rPr>
      </w:pPr>
    </w:p>
    <w:p>
      <w:pPr>
        <w:pStyle w:val="BodyText"/>
        <w:spacing w:before="2"/>
        <w:rPr>
          <w:b/>
          <w:sz w:val="10"/>
        </w:rPr>
      </w:pPr>
      <w:r>
        <w:rPr/>
        <w:drawing>
          <wp:anchor distT="0" distB="0" distL="0" distR="0" allowOverlap="1" layoutInCell="1" locked="0" behindDoc="0" simplePos="0" relativeHeight="12">
            <wp:simplePos x="0" y="0"/>
            <wp:positionH relativeFrom="page">
              <wp:posOffset>1103411</wp:posOffset>
            </wp:positionH>
            <wp:positionV relativeFrom="paragraph">
              <wp:posOffset>99326</wp:posOffset>
            </wp:positionV>
            <wp:extent cx="5324892" cy="1689639"/>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2" cstate="print"/>
                    <a:stretch>
                      <a:fillRect/>
                    </a:stretch>
                  </pic:blipFill>
                  <pic:spPr>
                    <a:xfrm>
                      <a:off x="0" y="0"/>
                      <a:ext cx="5324892" cy="1689639"/>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1135614</wp:posOffset>
            </wp:positionH>
            <wp:positionV relativeFrom="paragraph">
              <wp:posOffset>1966808</wp:posOffset>
            </wp:positionV>
            <wp:extent cx="5286123" cy="1173384"/>
            <wp:effectExtent l="0" t="0" r="0" b="0"/>
            <wp:wrapTopAndBottom/>
            <wp:docPr id="53" name="image27.png"/>
            <wp:cNvGraphicFramePr>
              <a:graphicFrameLocks noChangeAspect="1"/>
            </wp:cNvGraphicFramePr>
            <a:graphic>
              <a:graphicData uri="http://schemas.openxmlformats.org/drawingml/2006/picture">
                <pic:pic>
                  <pic:nvPicPr>
                    <pic:cNvPr id="54" name="image27.png"/>
                    <pic:cNvPicPr/>
                  </pic:nvPicPr>
                  <pic:blipFill>
                    <a:blip r:embed="rId33" cstate="print"/>
                    <a:stretch>
                      <a:fillRect/>
                    </a:stretch>
                  </pic:blipFill>
                  <pic:spPr>
                    <a:xfrm>
                      <a:off x="0" y="0"/>
                      <a:ext cx="5286123" cy="1173384"/>
                    </a:xfrm>
                    <a:prstGeom prst="rect">
                      <a:avLst/>
                    </a:prstGeom>
                  </pic:spPr>
                </pic:pic>
              </a:graphicData>
            </a:graphic>
          </wp:anchor>
        </w:drawing>
      </w:r>
    </w:p>
    <w:p>
      <w:pPr>
        <w:pStyle w:val="BodyText"/>
        <w:spacing w:before="5"/>
        <w:rPr>
          <w:b/>
          <w:sz w:val="18"/>
        </w:rPr>
      </w:pPr>
    </w:p>
    <w:p>
      <w:pPr>
        <w:pStyle w:val="BodyText"/>
        <w:rPr>
          <w:b/>
          <w:sz w:val="20"/>
        </w:rPr>
      </w:pPr>
    </w:p>
    <w:p>
      <w:pPr>
        <w:pStyle w:val="BodyText"/>
        <w:rPr>
          <w:b/>
          <w:sz w:val="20"/>
        </w:rPr>
      </w:pPr>
    </w:p>
    <w:p>
      <w:pPr>
        <w:pStyle w:val="BodyText"/>
        <w:spacing w:before="9"/>
        <w:rPr>
          <w:b/>
          <w:sz w:val="10"/>
        </w:rPr>
      </w:pPr>
      <w:r>
        <w:rPr/>
        <w:drawing>
          <wp:anchor distT="0" distB="0" distL="0" distR="0" allowOverlap="1" layoutInCell="1" locked="0" behindDoc="0" simplePos="0" relativeHeight="14">
            <wp:simplePos x="0" y="0"/>
            <wp:positionH relativeFrom="page">
              <wp:posOffset>1080135</wp:posOffset>
            </wp:positionH>
            <wp:positionV relativeFrom="paragraph">
              <wp:posOffset>104059</wp:posOffset>
            </wp:positionV>
            <wp:extent cx="5374928" cy="762952"/>
            <wp:effectExtent l="0" t="0" r="0" b="0"/>
            <wp:wrapTopAndBottom/>
            <wp:docPr id="55" name="image28.png"/>
            <wp:cNvGraphicFramePr>
              <a:graphicFrameLocks noChangeAspect="1"/>
            </wp:cNvGraphicFramePr>
            <a:graphic>
              <a:graphicData uri="http://schemas.openxmlformats.org/drawingml/2006/picture">
                <pic:pic>
                  <pic:nvPicPr>
                    <pic:cNvPr id="56" name="image28.png"/>
                    <pic:cNvPicPr/>
                  </pic:nvPicPr>
                  <pic:blipFill>
                    <a:blip r:embed="rId34" cstate="print"/>
                    <a:stretch>
                      <a:fillRect/>
                    </a:stretch>
                  </pic:blipFill>
                  <pic:spPr>
                    <a:xfrm>
                      <a:off x="0" y="0"/>
                      <a:ext cx="5374928" cy="762952"/>
                    </a:xfrm>
                    <a:prstGeom prst="rect">
                      <a:avLst/>
                    </a:prstGeom>
                  </pic:spPr>
                </pic:pic>
              </a:graphicData>
            </a:graphic>
          </wp:anchor>
        </w:drawing>
      </w:r>
    </w:p>
    <w:p>
      <w:pPr>
        <w:spacing w:after="0"/>
        <w:rPr>
          <w:sz w:val="10"/>
        </w:rPr>
        <w:sectPr>
          <w:pgSz w:w="11910" w:h="16840"/>
          <w:pgMar w:header="1217" w:footer="0" w:top="2740" w:bottom="280" w:left="1300" w:right="1440"/>
        </w:sectPr>
      </w:pPr>
    </w:p>
    <w:p>
      <w:pPr>
        <w:pStyle w:val="BodyText"/>
        <w:rPr>
          <w:b/>
          <w:sz w:val="20"/>
        </w:rPr>
      </w:pPr>
    </w:p>
    <w:p>
      <w:pPr>
        <w:pStyle w:val="BodyText"/>
        <w:spacing w:before="3"/>
        <w:rPr>
          <w:b/>
          <w:sz w:val="28"/>
        </w:rPr>
      </w:pPr>
    </w:p>
    <w:p>
      <w:pPr>
        <w:pStyle w:val="BodyText"/>
        <w:ind w:left="467"/>
        <w:rPr>
          <w:sz w:val="20"/>
        </w:rPr>
      </w:pPr>
      <w:r>
        <w:rPr>
          <w:sz w:val="20"/>
        </w:rPr>
        <w:drawing>
          <wp:inline distT="0" distB="0" distL="0" distR="0">
            <wp:extent cx="5289559" cy="6504432"/>
            <wp:effectExtent l="0" t="0" r="0" b="0"/>
            <wp:docPr id="57" name="image29.png"/>
            <wp:cNvGraphicFramePr>
              <a:graphicFrameLocks noChangeAspect="1"/>
            </wp:cNvGraphicFramePr>
            <a:graphic>
              <a:graphicData uri="http://schemas.openxmlformats.org/drawingml/2006/picture">
                <pic:pic>
                  <pic:nvPicPr>
                    <pic:cNvPr id="58" name="image29.png"/>
                    <pic:cNvPicPr/>
                  </pic:nvPicPr>
                  <pic:blipFill>
                    <a:blip r:embed="rId35" cstate="print"/>
                    <a:stretch>
                      <a:fillRect/>
                    </a:stretch>
                  </pic:blipFill>
                  <pic:spPr>
                    <a:xfrm>
                      <a:off x="0" y="0"/>
                      <a:ext cx="5289559" cy="6504432"/>
                    </a:xfrm>
                    <a:prstGeom prst="rect">
                      <a:avLst/>
                    </a:prstGeom>
                  </pic:spPr>
                </pic:pic>
              </a:graphicData>
            </a:graphic>
          </wp:inline>
        </w:drawing>
      </w:r>
      <w:r>
        <w:rPr>
          <w:sz w:val="20"/>
        </w:rPr>
      </w:r>
    </w:p>
    <w:p>
      <w:pPr>
        <w:pStyle w:val="BodyText"/>
        <w:spacing w:before="9"/>
        <w:rPr>
          <w:b/>
          <w:sz w:val="18"/>
        </w:rPr>
      </w:pPr>
    </w:p>
    <w:p>
      <w:pPr>
        <w:pStyle w:val="BodyText"/>
        <w:spacing w:before="90"/>
        <w:ind w:left="402"/>
      </w:pPr>
      <w:r>
        <w:rPr/>
        <w:t>…</w:t>
      </w:r>
    </w:p>
    <w:p>
      <w:pPr>
        <w:spacing w:after="0"/>
        <w:sectPr>
          <w:pgSz w:w="11910" w:h="16840"/>
          <w:pgMar w:header="1217" w:footer="0" w:top="2740" w:bottom="280" w:left="1300" w:right="1440"/>
        </w:sectPr>
      </w:pPr>
    </w:p>
    <w:p>
      <w:pPr>
        <w:pStyle w:val="BodyText"/>
        <w:rPr>
          <w:sz w:val="20"/>
        </w:rPr>
      </w:pPr>
    </w:p>
    <w:p>
      <w:pPr>
        <w:pStyle w:val="BodyText"/>
        <w:spacing w:before="7"/>
        <w:rPr>
          <w:sz w:val="19"/>
        </w:rPr>
      </w:pPr>
    </w:p>
    <w:p>
      <w:pPr>
        <w:spacing w:before="89"/>
        <w:ind w:left="402" w:right="0" w:firstLine="0"/>
        <w:jc w:val="left"/>
        <w:rPr>
          <w:b/>
          <w:sz w:val="26"/>
        </w:rPr>
      </w:pPr>
      <w:r>
        <w:rPr>
          <w:spacing w:val="-65"/>
          <w:w w:val="99"/>
          <w:sz w:val="26"/>
          <w:u w:val="thick"/>
        </w:rPr>
        <w:t> </w:t>
      </w:r>
      <w:r>
        <w:rPr>
          <w:b/>
          <w:spacing w:val="-4"/>
          <w:sz w:val="26"/>
          <w:u w:val="thick"/>
        </w:rPr>
        <w:t>CULTURA</w:t>
      </w:r>
    </w:p>
    <w:p>
      <w:pPr>
        <w:pStyle w:val="BodyText"/>
        <w:rPr>
          <w:b/>
          <w:sz w:val="20"/>
        </w:rPr>
      </w:pPr>
    </w:p>
    <w:p>
      <w:pPr>
        <w:pStyle w:val="BodyText"/>
        <w:spacing w:before="11"/>
        <w:rPr>
          <w:b/>
          <w:sz w:val="29"/>
        </w:rPr>
      </w:pPr>
    </w:p>
    <w:p>
      <w:pPr>
        <w:pStyle w:val="BodyText"/>
        <w:spacing w:before="92"/>
        <w:ind w:left="402"/>
        <w:rPr>
          <w:rFonts w:ascii="Arial"/>
        </w:rPr>
      </w:pPr>
      <w:r>
        <w:rPr>
          <w:rFonts w:ascii="Arial"/>
        </w:rPr>
        <w:t>MEJORAS -</w:t>
      </w:r>
    </w:p>
    <w:p>
      <w:pPr>
        <w:pStyle w:val="ListParagraph"/>
        <w:numPr>
          <w:ilvl w:val="0"/>
          <w:numId w:val="7"/>
        </w:numPr>
        <w:tabs>
          <w:tab w:pos="633" w:val="left" w:leader="none"/>
        </w:tabs>
        <w:spacing w:line="276" w:lineRule="auto" w:before="182" w:after="0"/>
        <w:ind w:left="402" w:right="265" w:firstLine="0"/>
        <w:jc w:val="both"/>
        <w:rPr>
          <w:rFonts w:ascii="Arial" w:hAnsi="Arial"/>
          <w:sz w:val="24"/>
        </w:rPr>
      </w:pPr>
      <w:r>
        <w:rPr>
          <w:rFonts w:ascii="Arial" w:hAnsi="Arial"/>
          <w:sz w:val="24"/>
        </w:rPr>
        <w:t>Pintura interior y exterior de sala de exposiciones Ermita S. Antonio y recuperación zonas con humedad, nueva recepción,</w:t>
      </w:r>
      <w:r>
        <w:rPr>
          <w:rFonts w:ascii="Arial" w:hAnsi="Arial"/>
          <w:spacing w:val="-5"/>
          <w:sz w:val="24"/>
        </w:rPr>
        <w:t> </w:t>
      </w:r>
      <w:r>
        <w:rPr>
          <w:rFonts w:ascii="Arial" w:hAnsi="Arial"/>
          <w:sz w:val="24"/>
        </w:rPr>
        <w:t>mobiliario.</w:t>
      </w:r>
    </w:p>
    <w:p>
      <w:pPr>
        <w:pStyle w:val="ListParagraph"/>
        <w:numPr>
          <w:ilvl w:val="0"/>
          <w:numId w:val="7"/>
        </w:numPr>
        <w:tabs>
          <w:tab w:pos="618" w:val="left" w:leader="none"/>
        </w:tabs>
        <w:spacing w:line="276" w:lineRule="auto" w:before="139" w:after="0"/>
        <w:ind w:left="402" w:right="263" w:firstLine="0"/>
        <w:jc w:val="both"/>
        <w:rPr>
          <w:rFonts w:ascii="Arial" w:hAnsi="Arial"/>
          <w:sz w:val="24"/>
        </w:rPr>
      </w:pPr>
      <w:r>
        <w:rPr>
          <w:rFonts w:ascii="Arial" w:hAnsi="Arial"/>
          <w:sz w:val="24"/>
        </w:rPr>
        <w:t>Sala de arte de Ermita San Antonio de Tías: exposiciones de pintura y fotografía, esculturas y artesanía de hilos, presentaciones literarias, conciertos de</w:t>
      </w:r>
      <w:r>
        <w:rPr>
          <w:rFonts w:ascii="Arial" w:hAnsi="Arial"/>
          <w:spacing w:val="-1"/>
          <w:sz w:val="24"/>
        </w:rPr>
        <w:t> </w:t>
      </w:r>
      <w:r>
        <w:rPr>
          <w:rFonts w:ascii="Arial" w:hAnsi="Arial"/>
          <w:sz w:val="24"/>
        </w:rPr>
        <w:t>cámara.</w:t>
      </w:r>
    </w:p>
    <w:p>
      <w:pPr>
        <w:pStyle w:val="ListParagraph"/>
        <w:numPr>
          <w:ilvl w:val="0"/>
          <w:numId w:val="7"/>
        </w:numPr>
        <w:tabs>
          <w:tab w:pos="549" w:val="left" w:leader="none"/>
        </w:tabs>
        <w:spacing w:line="240" w:lineRule="auto" w:before="140" w:after="0"/>
        <w:ind w:left="548" w:right="0" w:hanging="147"/>
        <w:jc w:val="both"/>
        <w:rPr>
          <w:rFonts w:ascii="Arial" w:hAnsi="Arial"/>
          <w:sz w:val="24"/>
        </w:rPr>
      </w:pPr>
      <w:r>
        <w:rPr>
          <w:rFonts w:ascii="Arial" w:hAnsi="Arial"/>
          <w:sz w:val="24"/>
        </w:rPr>
        <w:t>CSC Los lirios:</w:t>
      </w:r>
      <w:r>
        <w:rPr>
          <w:rFonts w:ascii="Arial" w:hAnsi="Arial"/>
          <w:spacing w:val="-2"/>
          <w:sz w:val="24"/>
        </w:rPr>
        <w:t> </w:t>
      </w:r>
      <w:r>
        <w:rPr>
          <w:rFonts w:ascii="Arial" w:hAnsi="Arial"/>
          <w:sz w:val="24"/>
        </w:rPr>
        <w:t>mantenimiento</w:t>
      </w:r>
    </w:p>
    <w:p>
      <w:pPr>
        <w:pStyle w:val="ListParagraph"/>
        <w:numPr>
          <w:ilvl w:val="0"/>
          <w:numId w:val="7"/>
        </w:numPr>
        <w:tabs>
          <w:tab w:pos="549" w:val="left" w:leader="none"/>
        </w:tabs>
        <w:spacing w:line="240" w:lineRule="auto" w:before="182" w:after="0"/>
        <w:ind w:left="548" w:right="0" w:hanging="147"/>
        <w:jc w:val="both"/>
        <w:rPr>
          <w:rFonts w:ascii="Arial" w:hAnsi="Arial"/>
          <w:sz w:val="24"/>
        </w:rPr>
      </w:pPr>
      <w:r>
        <w:rPr>
          <w:rFonts w:ascii="Arial" w:hAnsi="Arial"/>
          <w:sz w:val="24"/>
        </w:rPr>
        <w:t>CSC Mácher:</w:t>
      </w:r>
      <w:r>
        <w:rPr>
          <w:rFonts w:ascii="Arial" w:hAnsi="Arial"/>
          <w:spacing w:val="-2"/>
          <w:sz w:val="24"/>
        </w:rPr>
        <w:t> </w:t>
      </w:r>
      <w:r>
        <w:rPr>
          <w:rFonts w:ascii="Arial" w:hAnsi="Arial"/>
          <w:sz w:val="24"/>
        </w:rPr>
        <w:t>mantenimiento</w:t>
      </w:r>
    </w:p>
    <w:p>
      <w:pPr>
        <w:pStyle w:val="ListParagraph"/>
        <w:numPr>
          <w:ilvl w:val="0"/>
          <w:numId w:val="7"/>
        </w:numPr>
        <w:tabs>
          <w:tab w:pos="549" w:val="left" w:leader="none"/>
        </w:tabs>
        <w:spacing w:line="240" w:lineRule="auto" w:before="183" w:after="0"/>
        <w:ind w:left="548" w:right="0" w:hanging="147"/>
        <w:jc w:val="left"/>
        <w:rPr>
          <w:rFonts w:ascii="Arial" w:hAnsi="Arial"/>
          <w:sz w:val="24"/>
        </w:rPr>
      </w:pPr>
      <w:r>
        <w:rPr>
          <w:rFonts w:ascii="Arial" w:hAnsi="Arial"/>
          <w:sz w:val="24"/>
        </w:rPr>
        <w:t>CSC La Asomada:</w:t>
      </w:r>
      <w:r>
        <w:rPr>
          <w:rFonts w:ascii="Arial" w:hAnsi="Arial"/>
          <w:spacing w:val="-16"/>
          <w:sz w:val="24"/>
        </w:rPr>
        <w:t> </w:t>
      </w:r>
      <w:r>
        <w:rPr>
          <w:rFonts w:ascii="Arial" w:hAnsi="Arial"/>
          <w:sz w:val="24"/>
        </w:rPr>
        <w:t>mantenimiento</w:t>
      </w:r>
    </w:p>
    <w:p>
      <w:pPr>
        <w:pStyle w:val="ListParagraph"/>
        <w:numPr>
          <w:ilvl w:val="0"/>
          <w:numId w:val="7"/>
        </w:numPr>
        <w:tabs>
          <w:tab w:pos="549" w:val="left" w:leader="none"/>
        </w:tabs>
        <w:spacing w:line="240" w:lineRule="auto" w:before="180" w:after="0"/>
        <w:ind w:left="548" w:right="0" w:hanging="147"/>
        <w:jc w:val="left"/>
        <w:rPr>
          <w:rFonts w:ascii="Arial" w:hAnsi="Arial"/>
          <w:sz w:val="24"/>
        </w:rPr>
      </w:pPr>
      <w:r>
        <w:rPr>
          <w:rFonts w:ascii="Arial" w:hAnsi="Arial"/>
          <w:sz w:val="24"/>
        </w:rPr>
        <w:t>CSC Masdache:</w:t>
      </w:r>
      <w:r>
        <w:rPr>
          <w:rFonts w:ascii="Arial" w:hAnsi="Arial"/>
          <w:spacing w:val="-2"/>
          <w:sz w:val="24"/>
        </w:rPr>
        <w:t> </w:t>
      </w:r>
      <w:r>
        <w:rPr>
          <w:rFonts w:ascii="Arial" w:hAnsi="Arial"/>
          <w:sz w:val="24"/>
        </w:rPr>
        <w:t>mantenimiento</w:t>
      </w:r>
    </w:p>
    <w:p>
      <w:pPr>
        <w:pStyle w:val="ListParagraph"/>
        <w:numPr>
          <w:ilvl w:val="0"/>
          <w:numId w:val="7"/>
        </w:numPr>
        <w:tabs>
          <w:tab w:pos="549" w:val="left" w:leader="none"/>
        </w:tabs>
        <w:spacing w:line="240" w:lineRule="auto" w:before="182" w:after="0"/>
        <w:ind w:left="548" w:right="0" w:hanging="147"/>
        <w:jc w:val="left"/>
        <w:rPr>
          <w:rFonts w:ascii="Arial" w:hAnsi="Arial"/>
          <w:sz w:val="24"/>
        </w:rPr>
      </w:pPr>
      <w:r>
        <w:rPr>
          <w:rFonts w:ascii="Arial" w:hAnsi="Arial"/>
          <w:sz w:val="24"/>
        </w:rPr>
        <w:t>CSC Conil:</w:t>
      </w:r>
      <w:r>
        <w:rPr>
          <w:rFonts w:ascii="Arial" w:hAnsi="Arial"/>
          <w:spacing w:val="-2"/>
          <w:sz w:val="24"/>
        </w:rPr>
        <w:t> </w:t>
      </w:r>
      <w:r>
        <w:rPr>
          <w:rFonts w:ascii="Arial" w:hAnsi="Arial"/>
          <w:sz w:val="24"/>
        </w:rPr>
        <w:t>mantenimiento</w:t>
      </w:r>
    </w:p>
    <w:p>
      <w:pPr>
        <w:pStyle w:val="ListParagraph"/>
        <w:numPr>
          <w:ilvl w:val="0"/>
          <w:numId w:val="7"/>
        </w:numPr>
        <w:tabs>
          <w:tab w:pos="549" w:val="left" w:leader="none"/>
        </w:tabs>
        <w:spacing w:line="240" w:lineRule="auto" w:before="180" w:after="0"/>
        <w:ind w:left="548" w:right="0" w:hanging="147"/>
        <w:jc w:val="left"/>
        <w:rPr>
          <w:rFonts w:ascii="Arial" w:hAnsi="Arial"/>
          <w:sz w:val="24"/>
        </w:rPr>
      </w:pPr>
      <w:r>
        <w:rPr>
          <w:rFonts w:ascii="Arial" w:hAnsi="Arial"/>
          <w:sz w:val="24"/>
        </w:rPr>
        <w:t>CSC Tiñosa:</w:t>
      </w:r>
      <w:r>
        <w:rPr>
          <w:rFonts w:ascii="Arial" w:hAnsi="Arial"/>
          <w:spacing w:val="-6"/>
          <w:sz w:val="24"/>
        </w:rPr>
        <w:t> </w:t>
      </w:r>
      <w:r>
        <w:rPr>
          <w:rFonts w:ascii="Arial" w:hAnsi="Arial"/>
          <w:sz w:val="24"/>
        </w:rPr>
        <w:t>mantenimiento</w:t>
      </w:r>
    </w:p>
    <w:p>
      <w:pPr>
        <w:pStyle w:val="ListParagraph"/>
        <w:numPr>
          <w:ilvl w:val="0"/>
          <w:numId w:val="7"/>
        </w:numPr>
        <w:tabs>
          <w:tab w:pos="587" w:val="left" w:leader="none"/>
        </w:tabs>
        <w:spacing w:line="276" w:lineRule="auto" w:before="183" w:after="0"/>
        <w:ind w:left="402" w:right="265" w:firstLine="0"/>
        <w:jc w:val="both"/>
        <w:rPr>
          <w:rFonts w:ascii="Arial" w:hAnsi="Arial"/>
          <w:sz w:val="24"/>
        </w:rPr>
      </w:pPr>
      <w:r>
        <w:rPr>
          <w:rFonts w:ascii="Arial" w:hAnsi="Arial"/>
          <w:sz w:val="24"/>
        </w:rPr>
        <w:t>Rehabilitación de esculturas La Candelaria, Sra. Guindando agua en Avda. central</w:t>
      </w:r>
      <w:r>
        <w:rPr>
          <w:rFonts w:ascii="Arial" w:hAnsi="Arial"/>
          <w:spacing w:val="-6"/>
          <w:sz w:val="24"/>
        </w:rPr>
        <w:t> </w:t>
      </w:r>
      <w:r>
        <w:rPr>
          <w:rFonts w:ascii="Arial" w:hAnsi="Arial"/>
          <w:sz w:val="24"/>
        </w:rPr>
        <w:t>Tías.</w:t>
      </w:r>
    </w:p>
    <w:p>
      <w:pPr>
        <w:pStyle w:val="BodyText"/>
        <w:rPr>
          <w:rFonts w:ascii="Arial"/>
          <w:sz w:val="26"/>
        </w:rPr>
      </w:pPr>
    </w:p>
    <w:p>
      <w:pPr>
        <w:pStyle w:val="BodyText"/>
        <w:spacing w:before="10"/>
        <w:rPr>
          <w:rFonts w:ascii="Arial"/>
          <w:sz w:val="25"/>
        </w:rPr>
      </w:pPr>
    </w:p>
    <w:p>
      <w:pPr>
        <w:pStyle w:val="BodyText"/>
        <w:ind w:left="402"/>
        <w:rPr>
          <w:rFonts w:ascii="Arial"/>
        </w:rPr>
      </w:pPr>
      <w:r>
        <w:rPr>
          <w:rFonts w:ascii="Arial"/>
        </w:rPr>
        <w:t>ACTIVIDADES -</w:t>
      </w:r>
    </w:p>
    <w:p>
      <w:pPr>
        <w:pStyle w:val="ListParagraph"/>
        <w:numPr>
          <w:ilvl w:val="0"/>
          <w:numId w:val="8"/>
        </w:numPr>
        <w:tabs>
          <w:tab w:pos="604" w:val="left" w:leader="none"/>
        </w:tabs>
        <w:spacing w:line="276" w:lineRule="auto" w:before="182" w:after="0"/>
        <w:ind w:left="402" w:right="263" w:firstLine="0"/>
        <w:jc w:val="both"/>
        <w:rPr>
          <w:rFonts w:ascii="Arial" w:hAnsi="Arial"/>
          <w:sz w:val="24"/>
        </w:rPr>
      </w:pPr>
      <w:r>
        <w:rPr>
          <w:rFonts w:ascii="Arial" w:hAnsi="Arial"/>
          <w:sz w:val="24"/>
        </w:rPr>
        <w:t>Actividades en todos los centros socioculturales para dinamización: circo, atención infantil, aula en clave, bailes, música, folclore, asistencia ciudadanía desde</w:t>
      </w:r>
      <w:r>
        <w:rPr>
          <w:rFonts w:ascii="Arial" w:hAnsi="Arial"/>
          <w:spacing w:val="-7"/>
          <w:sz w:val="24"/>
        </w:rPr>
        <w:t> </w:t>
      </w:r>
      <w:r>
        <w:rPr>
          <w:rFonts w:ascii="Arial" w:hAnsi="Arial"/>
          <w:sz w:val="24"/>
        </w:rPr>
        <w:t>asociaciones</w:t>
      </w:r>
      <w:r>
        <w:rPr>
          <w:rFonts w:ascii="Arial" w:hAnsi="Arial"/>
          <w:spacing w:val="-8"/>
          <w:sz w:val="24"/>
        </w:rPr>
        <w:t> </w:t>
      </w:r>
      <w:r>
        <w:rPr>
          <w:rFonts w:ascii="Arial" w:hAnsi="Arial"/>
          <w:sz w:val="24"/>
        </w:rPr>
        <w:t>anexas</w:t>
      </w:r>
      <w:r>
        <w:rPr>
          <w:rFonts w:ascii="Arial" w:hAnsi="Arial"/>
          <w:spacing w:val="-8"/>
          <w:sz w:val="24"/>
        </w:rPr>
        <w:t> </w:t>
      </w:r>
      <w:r>
        <w:rPr>
          <w:rFonts w:ascii="Arial" w:hAnsi="Arial"/>
          <w:sz w:val="24"/>
        </w:rPr>
        <w:t>a</w:t>
      </w:r>
      <w:r>
        <w:rPr>
          <w:rFonts w:ascii="Arial" w:hAnsi="Arial"/>
          <w:spacing w:val="-6"/>
          <w:sz w:val="24"/>
        </w:rPr>
        <w:t> </w:t>
      </w:r>
      <w:r>
        <w:rPr>
          <w:rFonts w:ascii="Arial" w:hAnsi="Arial"/>
          <w:sz w:val="24"/>
        </w:rPr>
        <w:t>Bienestar</w:t>
      </w:r>
      <w:r>
        <w:rPr>
          <w:rFonts w:ascii="Arial" w:hAnsi="Arial"/>
          <w:spacing w:val="-8"/>
          <w:sz w:val="24"/>
        </w:rPr>
        <w:t> </w:t>
      </w:r>
      <w:r>
        <w:rPr>
          <w:rFonts w:ascii="Arial" w:hAnsi="Arial"/>
          <w:sz w:val="24"/>
        </w:rPr>
        <w:t>Social,</w:t>
      </w:r>
      <w:r>
        <w:rPr>
          <w:rFonts w:ascii="Arial" w:hAnsi="Arial"/>
          <w:spacing w:val="-5"/>
          <w:sz w:val="24"/>
        </w:rPr>
        <w:t> </w:t>
      </w:r>
      <w:r>
        <w:rPr>
          <w:rFonts w:ascii="Arial" w:hAnsi="Arial"/>
          <w:sz w:val="24"/>
        </w:rPr>
        <w:t>enseñanza</w:t>
      </w:r>
      <w:r>
        <w:rPr>
          <w:rFonts w:ascii="Arial" w:hAnsi="Arial"/>
          <w:spacing w:val="-7"/>
          <w:sz w:val="24"/>
        </w:rPr>
        <w:t> </w:t>
      </w:r>
      <w:r>
        <w:rPr>
          <w:rFonts w:ascii="Arial" w:hAnsi="Arial"/>
          <w:sz w:val="24"/>
        </w:rPr>
        <w:t>de</w:t>
      </w:r>
      <w:r>
        <w:rPr>
          <w:rFonts w:ascii="Arial" w:hAnsi="Arial"/>
          <w:spacing w:val="-4"/>
          <w:sz w:val="24"/>
        </w:rPr>
        <w:t> </w:t>
      </w:r>
      <w:r>
        <w:rPr>
          <w:rFonts w:ascii="Arial" w:hAnsi="Arial"/>
          <w:sz w:val="24"/>
        </w:rPr>
        <w:t>idiomas,</w:t>
      </w:r>
      <w:r>
        <w:rPr>
          <w:rFonts w:ascii="Arial" w:hAnsi="Arial"/>
          <w:spacing w:val="-4"/>
          <w:sz w:val="24"/>
        </w:rPr>
        <w:t> </w:t>
      </w:r>
      <w:r>
        <w:rPr>
          <w:rFonts w:ascii="Arial" w:hAnsi="Arial"/>
          <w:sz w:val="24"/>
        </w:rPr>
        <w:t>lectura</w:t>
      </w:r>
      <w:r>
        <w:rPr>
          <w:rFonts w:ascii="Arial" w:hAnsi="Arial"/>
          <w:spacing w:val="-12"/>
          <w:sz w:val="24"/>
        </w:rPr>
        <w:t> </w:t>
      </w:r>
      <w:r>
        <w:rPr>
          <w:rFonts w:ascii="Arial" w:hAnsi="Arial"/>
          <w:sz w:val="24"/>
        </w:rPr>
        <w:t>a viva voz, sede asociación juvenil de la Tiñosa,</w:t>
      </w:r>
      <w:r>
        <w:rPr>
          <w:rFonts w:ascii="Arial" w:hAnsi="Arial"/>
          <w:spacing w:val="-15"/>
          <w:sz w:val="24"/>
        </w:rPr>
        <w:t> </w:t>
      </w:r>
      <w:r>
        <w:rPr>
          <w:rFonts w:ascii="Arial" w:hAnsi="Arial"/>
          <w:sz w:val="24"/>
        </w:rPr>
        <w:t>etc</w:t>
      </w:r>
    </w:p>
    <w:p>
      <w:pPr>
        <w:pStyle w:val="BodyText"/>
        <w:spacing w:line="276" w:lineRule="auto" w:before="140"/>
        <w:ind w:left="402" w:right="254"/>
        <w:jc w:val="both"/>
        <w:rPr>
          <w:rFonts w:ascii="Arial" w:hAnsi="Arial"/>
        </w:rPr>
      </w:pPr>
      <w:r>
        <w:rPr>
          <w:rFonts w:ascii="Arial" w:hAnsi="Arial"/>
        </w:rPr>
        <w:t>Entrega</w:t>
      </w:r>
      <w:r>
        <w:rPr>
          <w:rFonts w:ascii="Arial" w:hAnsi="Arial"/>
          <w:spacing w:val="-14"/>
        </w:rPr>
        <w:t> </w:t>
      </w:r>
      <w:r>
        <w:rPr>
          <w:rFonts w:ascii="Arial" w:hAnsi="Arial"/>
        </w:rPr>
        <w:t>de</w:t>
      </w:r>
      <w:r>
        <w:rPr>
          <w:rFonts w:ascii="Arial" w:hAnsi="Arial"/>
          <w:spacing w:val="-13"/>
        </w:rPr>
        <w:t> </w:t>
      </w:r>
      <w:r>
        <w:rPr>
          <w:rFonts w:ascii="Arial" w:hAnsi="Arial"/>
        </w:rPr>
        <w:t>subvenciones</w:t>
      </w:r>
      <w:r>
        <w:rPr>
          <w:rFonts w:ascii="Arial" w:hAnsi="Arial"/>
          <w:spacing w:val="-15"/>
        </w:rPr>
        <w:t> </w:t>
      </w:r>
      <w:r>
        <w:rPr>
          <w:rFonts w:ascii="Arial" w:hAnsi="Arial"/>
        </w:rPr>
        <w:t>a</w:t>
      </w:r>
      <w:r>
        <w:rPr>
          <w:rFonts w:ascii="Arial" w:hAnsi="Arial"/>
          <w:spacing w:val="-15"/>
        </w:rPr>
        <w:t> </w:t>
      </w:r>
      <w:r>
        <w:rPr>
          <w:rFonts w:ascii="Arial" w:hAnsi="Arial"/>
        </w:rPr>
        <w:t>asociaciones</w:t>
      </w:r>
      <w:r>
        <w:rPr>
          <w:rFonts w:ascii="Arial" w:hAnsi="Arial"/>
          <w:spacing w:val="-16"/>
        </w:rPr>
        <w:t> </w:t>
      </w:r>
      <w:r>
        <w:rPr>
          <w:rFonts w:ascii="Arial" w:hAnsi="Arial"/>
        </w:rPr>
        <w:t>culturales</w:t>
      </w:r>
      <w:r>
        <w:rPr>
          <w:rFonts w:ascii="Arial" w:hAnsi="Arial"/>
          <w:spacing w:val="-15"/>
        </w:rPr>
        <w:t> </w:t>
      </w:r>
      <w:r>
        <w:rPr>
          <w:rFonts w:ascii="Arial" w:hAnsi="Arial"/>
        </w:rPr>
        <w:t>del</w:t>
      </w:r>
      <w:r>
        <w:rPr>
          <w:rFonts w:ascii="Arial" w:hAnsi="Arial"/>
          <w:spacing w:val="-17"/>
        </w:rPr>
        <w:t> </w:t>
      </w:r>
      <w:r>
        <w:rPr>
          <w:rFonts w:ascii="Arial" w:hAnsi="Arial"/>
        </w:rPr>
        <w:t>municipio</w:t>
      </w:r>
      <w:r>
        <w:rPr>
          <w:rFonts w:ascii="Arial" w:hAnsi="Arial"/>
          <w:spacing w:val="-16"/>
        </w:rPr>
        <w:t> </w:t>
      </w:r>
      <w:r>
        <w:rPr>
          <w:rFonts w:ascii="Arial" w:hAnsi="Arial"/>
        </w:rPr>
        <w:t>de</w:t>
      </w:r>
      <w:r>
        <w:rPr>
          <w:rFonts w:ascii="Arial" w:hAnsi="Arial"/>
          <w:spacing w:val="-20"/>
        </w:rPr>
        <w:t> </w:t>
      </w:r>
      <w:r>
        <w:rPr>
          <w:rFonts w:ascii="Arial" w:hAnsi="Arial"/>
        </w:rPr>
        <w:t>Tías</w:t>
      </w:r>
      <w:r>
        <w:rPr>
          <w:rFonts w:ascii="Arial" w:hAnsi="Arial"/>
          <w:spacing w:val="-15"/>
        </w:rPr>
        <w:t> </w:t>
      </w:r>
      <w:r>
        <w:rPr>
          <w:rFonts w:ascii="Arial" w:hAnsi="Arial"/>
        </w:rPr>
        <w:t>(Cavea Cómica</w:t>
      </w:r>
      <w:r>
        <w:rPr>
          <w:rFonts w:ascii="Arial" w:hAnsi="Arial"/>
          <w:spacing w:val="-18"/>
        </w:rPr>
        <w:t> </w:t>
      </w:r>
      <w:r>
        <w:rPr>
          <w:rFonts w:ascii="Arial" w:hAnsi="Arial"/>
          <w:spacing w:val="-4"/>
        </w:rPr>
        <w:t>Teatro,</w:t>
      </w:r>
      <w:r>
        <w:rPr>
          <w:rFonts w:ascii="Arial" w:hAnsi="Arial"/>
          <w:spacing w:val="-26"/>
        </w:rPr>
        <w:t> </w:t>
      </w:r>
      <w:r>
        <w:rPr>
          <w:rFonts w:ascii="Arial" w:hAnsi="Arial"/>
        </w:rPr>
        <w:t>Asociación</w:t>
      </w:r>
      <w:r>
        <w:rPr>
          <w:rFonts w:ascii="Arial" w:hAnsi="Arial"/>
          <w:spacing w:val="-13"/>
        </w:rPr>
        <w:t> </w:t>
      </w:r>
      <w:r>
        <w:rPr>
          <w:rFonts w:ascii="Arial" w:hAnsi="Arial"/>
        </w:rPr>
        <w:t>Maramar,</w:t>
      </w:r>
      <w:r>
        <w:rPr>
          <w:rFonts w:ascii="Arial" w:hAnsi="Arial"/>
          <w:spacing w:val="-14"/>
        </w:rPr>
        <w:t> </w:t>
      </w:r>
      <w:r>
        <w:rPr>
          <w:rFonts w:ascii="Arial" w:hAnsi="Arial"/>
        </w:rPr>
        <w:t>Fundación</w:t>
      </w:r>
      <w:r>
        <w:rPr>
          <w:rFonts w:ascii="Arial" w:hAnsi="Arial"/>
          <w:spacing w:val="-12"/>
        </w:rPr>
        <w:t> </w:t>
      </w:r>
      <w:r>
        <w:rPr>
          <w:rFonts w:ascii="Arial" w:hAnsi="Arial"/>
        </w:rPr>
        <w:t>Nino</w:t>
      </w:r>
      <w:r>
        <w:rPr>
          <w:rFonts w:ascii="Arial" w:hAnsi="Arial"/>
          <w:spacing w:val="-13"/>
        </w:rPr>
        <w:t> </w:t>
      </w:r>
      <w:r>
        <w:rPr>
          <w:rFonts w:ascii="Arial" w:hAnsi="Arial"/>
        </w:rPr>
        <w:t>Díaz,</w:t>
      </w:r>
      <w:r>
        <w:rPr>
          <w:rFonts w:ascii="Arial" w:hAnsi="Arial"/>
          <w:spacing w:val="-27"/>
        </w:rPr>
        <w:t> </w:t>
      </w:r>
      <w:r>
        <w:rPr>
          <w:rFonts w:ascii="Arial" w:hAnsi="Arial"/>
        </w:rPr>
        <w:t>Asociación</w:t>
      </w:r>
      <w:r>
        <w:rPr>
          <w:rFonts w:ascii="Arial" w:hAnsi="Arial"/>
          <w:spacing w:val="-17"/>
        </w:rPr>
        <w:t> </w:t>
      </w:r>
      <w:r>
        <w:rPr>
          <w:rFonts w:ascii="Arial" w:hAnsi="Arial"/>
        </w:rPr>
        <w:t>Titiritias</w:t>
      </w:r>
      <w:r>
        <w:rPr>
          <w:rFonts w:ascii="Arial" w:hAnsi="Arial"/>
          <w:spacing w:val="-8"/>
        </w:rPr>
        <w:t> </w:t>
      </w:r>
      <w:r>
        <w:rPr>
          <w:rFonts w:ascii="Arial" w:hAnsi="Arial"/>
        </w:rPr>
        <w:t>– Guayota,</w:t>
      </w:r>
      <w:r>
        <w:rPr>
          <w:rFonts w:ascii="Arial" w:hAnsi="Arial"/>
          <w:spacing w:val="-13"/>
        </w:rPr>
        <w:t> </w:t>
      </w:r>
      <w:r>
        <w:rPr>
          <w:rFonts w:ascii="Arial" w:hAnsi="Arial"/>
        </w:rPr>
        <w:t>Investigadores</w:t>
      </w:r>
      <w:r>
        <w:rPr>
          <w:rFonts w:ascii="Arial" w:hAnsi="Arial"/>
          <w:spacing w:val="-10"/>
        </w:rPr>
        <w:t> </w:t>
      </w:r>
      <w:r>
        <w:rPr>
          <w:rFonts w:ascii="Arial" w:hAnsi="Arial"/>
        </w:rPr>
        <w:t>de</w:t>
      </w:r>
      <w:r>
        <w:rPr>
          <w:rFonts w:ascii="Arial" w:hAnsi="Arial"/>
          <w:spacing w:val="-9"/>
        </w:rPr>
        <w:t> </w:t>
      </w:r>
      <w:r>
        <w:rPr>
          <w:rFonts w:ascii="Arial" w:hAnsi="Arial"/>
        </w:rPr>
        <w:t>Comunicación</w:t>
      </w:r>
      <w:r>
        <w:rPr>
          <w:rFonts w:ascii="Arial" w:hAnsi="Arial"/>
          <w:spacing w:val="-9"/>
        </w:rPr>
        <w:t> </w:t>
      </w:r>
      <w:r>
        <w:rPr>
          <w:rFonts w:ascii="Arial" w:hAnsi="Arial"/>
        </w:rPr>
        <w:t>UNIV</w:t>
      </w:r>
      <w:r>
        <w:rPr>
          <w:rFonts w:ascii="Arial" w:hAnsi="Arial"/>
          <w:spacing w:val="-10"/>
        </w:rPr>
        <w:t> </w:t>
      </w:r>
      <w:r>
        <w:rPr>
          <w:rFonts w:ascii="Arial" w:hAnsi="Arial"/>
        </w:rPr>
        <w:t>Complutense</w:t>
      </w:r>
      <w:r>
        <w:rPr>
          <w:rFonts w:ascii="Arial" w:hAnsi="Arial"/>
          <w:spacing w:val="-9"/>
        </w:rPr>
        <w:t> </w:t>
      </w:r>
      <w:r>
        <w:rPr>
          <w:rFonts w:ascii="Arial" w:hAnsi="Arial"/>
        </w:rPr>
        <w:t>Madrid</w:t>
      </w:r>
      <w:r>
        <w:rPr>
          <w:rFonts w:ascii="Arial" w:hAnsi="Arial"/>
          <w:spacing w:val="-5"/>
        </w:rPr>
        <w:t> </w:t>
      </w:r>
      <w:r>
        <w:rPr>
          <w:rFonts w:ascii="Arial" w:hAnsi="Arial"/>
        </w:rPr>
        <w:t>–</w:t>
      </w:r>
      <w:r>
        <w:rPr>
          <w:rFonts w:ascii="Arial" w:hAnsi="Arial"/>
          <w:spacing w:val="-11"/>
        </w:rPr>
        <w:t> </w:t>
      </w:r>
      <w:r>
        <w:rPr>
          <w:rFonts w:ascii="Arial" w:hAnsi="Arial"/>
        </w:rPr>
        <w:t>Hermes Congreso, Asociación Cultural picón narrativa, Asociación el </w:t>
      </w:r>
      <w:r>
        <w:rPr>
          <w:rFonts w:ascii="Arial" w:hAnsi="Arial"/>
          <w:spacing w:val="-5"/>
        </w:rPr>
        <w:t>Tenique </w:t>
      </w:r>
      <w:r>
        <w:rPr>
          <w:rFonts w:ascii="Arial" w:hAnsi="Arial"/>
        </w:rPr>
        <w:t>– muestra de</w:t>
      </w:r>
      <w:r>
        <w:rPr>
          <w:rFonts w:ascii="Arial" w:hAnsi="Arial"/>
          <w:spacing w:val="-3"/>
        </w:rPr>
        <w:t> </w:t>
      </w:r>
      <w:r>
        <w:rPr>
          <w:rFonts w:ascii="Arial" w:hAnsi="Arial"/>
        </w:rPr>
        <w:t>cine</w:t>
      </w:r>
      <w:r>
        <w:rPr>
          <w:rFonts w:ascii="Arial" w:hAnsi="Arial"/>
          <w:spacing w:val="-5"/>
        </w:rPr>
        <w:t> </w:t>
      </w:r>
      <w:r>
        <w:rPr>
          <w:rFonts w:ascii="Arial" w:hAnsi="Arial"/>
        </w:rPr>
        <w:t>de</w:t>
      </w:r>
      <w:r>
        <w:rPr>
          <w:rFonts w:ascii="Arial" w:hAnsi="Arial"/>
          <w:spacing w:val="-4"/>
        </w:rPr>
        <w:t> </w:t>
      </w:r>
      <w:r>
        <w:rPr>
          <w:rFonts w:ascii="Arial" w:hAnsi="Arial"/>
        </w:rPr>
        <w:t>Lanzarote,</w:t>
      </w:r>
      <w:r>
        <w:rPr>
          <w:rFonts w:ascii="Arial" w:hAnsi="Arial"/>
          <w:spacing w:val="-7"/>
        </w:rPr>
        <w:t> </w:t>
      </w:r>
      <w:r>
        <w:rPr>
          <w:rFonts w:ascii="Arial" w:hAnsi="Arial"/>
        </w:rPr>
        <w:t>Festival</w:t>
      </w:r>
      <w:r>
        <w:rPr>
          <w:rFonts w:ascii="Arial" w:hAnsi="Arial"/>
          <w:spacing w:val="-7"/>
        </w:rPr>
        <w:t> </w:t>
      </w:r>
      <w:r>
        <w:rPr>
          <w:rFonts w:ascii="Arial" w:hAnsi="Arial"/>
        </w:rPr>
        <w:t>Traslación,</w:t>
      </w:r>
      <w:r>
        <w:rPr>
          <w:rFonts w:ascii="Arial" w:hAnsi="Arial"/>
          <w:spacing w:val="-5"/>
        </w:rPr>
        <w:t> </w:t>
      </w:r>
      <w:r>
        <w:rPr>
          <w:rFonts w:ascii="Arial" w:hAnsi="Arial"/>
        </w:rPr>
        <w:t>Festival</w:t>
      </w:r>
      <w:r>
        <w:rPr>
          <w:rFonts w:ascii="Arial" w:hAnsi="Arial"/>
          <w:spacing w:val="-4"/>
        </w:rPr>
        <w:t> </w:t>
      </w:r>
      <w:r>
        <w:rPr>
          <w:rFonts w:ascii="Arial" w:hAnsi="Arial"/>
        </w:rPr>
        <w:t>Palabras</w:t>
      </w:r>
      <w:r>
        <w:rPr>
          <w:rFonts w:ascii="Arial" w:hAnsi="Arial"/>
          <w:spacing w:val="-4"/>
        </w:rPr>
        <w:t> </w:t>
      </w:r>
      <w:r>
        <w:rPr>
          <w:rFonts w:ascii="Arial" w:hAnsi="Arial"/>
        </w:rPr>
        <w:t>al</w:t>
      </w:r>
      <w:r>
        <w:rPr>
          <w:rFonts w:ascii="Arial" w:hAnsi="Arial"/>
          <w:spacing w:val="-4"/>
        </w:rPr>
        <w:t> </w:t>
      </w:r>
      <w:r>
        <w:rPr>
          <w:rFonts w:ascii="Arial" w:hAnsi="Arial"/>
        </w:rPr>
        <w:t>vuelo,</w:t>
      </w:r>
      <w:r>
        <w:rPr>
          <w:rFonts w:ascii="Arial" w:hAnsi="Arial"/>
          <w:spacing w:val="-16"/>
        </w:rPr>
        <w:t> </w:t>
      </w:r>
      <w:r>
        <w:rPr>
          <w:rFonts w:ascii="Arial" w:hAnsi="Arial"/>
        </w:rPr>
        <w:t>Asociación folclórica Gaida, Güerma, Guágaro, Asociación musical El Pavón, Cátedra cultural Antonio Lozano Univ La Laguna – </w:t>
      </w:r>
      <w:r>
        <w:rPr>
          <w:rFonts w:ascii="Arial" w:hAnsi="Arial"/>
          <w:spacing w:val="-4"/>
        </w:rPr>
        <w:t>Tenerife, </w:t>
      </w:r>
      <w:r>
        <w:rPr>
          <w:rFonts w:ascii="Arial" w:hAnsi="Arial"/>
        </w:rPr>
        <w:t>Casa José Saramago, Escuela Beatriz</w:t>
      </w:r>
      <w:r>
        <w:rPr>
          <w:rFonts w:ascii="Arial" w:hAnsi="Arial"/>
          <w:spacing w:val="-3"/>
        </w:rPr>
        <w:t> </w:t>
      </w:r>
      <w:r>
        <w:rPr>
          <w:rFonts w:ascii="Arial" w:hAnsi="Arial"/>
        </w:rPr>
        <w:t>Senent)</w:t>
      </w:r>
    </w:p>
    <w:p>
      <w:pPr>
        <w:pStyle w:val="ListParagraph"/>
        <w:numPr>
          <w:ilvl w:val="0"/>
          <w:numId w:val="7"/>
        </w:numPr>
        <w:tabs>
          <w:tab w:pos="549" w:val="left" w:leader="none"/>
        </w:tabs>
        <w:spacing w:line="240" w:lineRule="auto" w:before="140" w:after="0"/>
        <w:ind w:left="548" w:right="0" w:hanging="147"/>
        <w:jc w:val="both"/>
        <w:rPr>
          <w:rFonts w:ascii="Arial" w:hAnsi="Arial"/>
          <w:sz w:val="24"/>
        </w:rPr>
      </w:pPr>
      <w:r>
        <w:rPr>
          <w:rFonts w:ascii="Arial" w:hAnsi="Arial"/>
          <w:sz w:val="24"/>
        </w:rPr>
        <w:t>Lecturas a viva voz en Bibliotecas – actividades</w:t>
      </w:r>
      <w:r>
        <w:rPr>
          <w:rFonts w:ascii="Arial" w:hAnsi="Arial"/>
          <w:spacing w:val="-6"/>
          <w:sz w:val="24"/>
        </w:rPr>
        <w:t> </w:t>
      </w:r>
      <w:r>
        <w:rPr>
          <w:rFonts w:ascii="Arial" w:hAnsi="Arial"/>
          <w:sz w:val="24"/>
        </w:rPr>
        <w:t>semanales</w:t>
      </w:r>
    </w:p>
    <w:p>
      <w:pPr>
        <w:spacing w:after="0" w:line="240" w:lineRule="auto"/>
        <w:jc w:val="both"/>
        <w:rPr>
          <w:rFonts w:ascii="Arial" w:hAnsi="Arial"/>
          <w:sz w:val="24"/>
        </w:rPr>
        <w:sectPr>
          <w:pgSz w:w="11910" w:h="16840"/>
          <w:pgMar w:header="1217" w:footer="0" w:top="2740" w:bottom="280" w:left="1300" w:right="1440"/>
        </w:sectPr>
      </w:pPr>
    </w:p>
    <w:p>
      <w:pPr>
        <w:pStyle w:val="BodyText"/>
        <w:rPr>
          <w:rFonts w:ascii="Arial"/>
          <w:sz w:val="20"/>
        </w:rPr>
      </w:pPr>
    </w:p>
    <w:p>
      <w:pPr>
        <w:pStyle w:val="BodyText"/>
        <w:spacing w:before="2"/>
        <w:rPr>
          <w:rFonts w:ascii="Arial"/>
          <w:sz w:val="19"/>
        </w:rPr>
      </w:pPr>
    </w:p>
    <w:p>
      <w:pPr>
        <w:pStyle w:val="ListParagraph"/>
        <w:numPr>
          <w:ilvl w:val="0"/>
          <w:numId w:val="7"/>
        </w:numPr>
        <w:tabs>
          <w:tab w:pos="657" w:val="left" w:leader="none"/>
        </w:tabs>
        <w:spacing w:line="276" w:lineRule="auto" w:before="92" w:after="0"/>
        <w:ind w:left="402" w:right="256" w:firstLine="0"/>
        <w:jc w:val="both"/>
        <w:rPr>
          <w:rFonts w:ascii="Arial" w:hAnsi="Arial"/>
          <w:sz w:val="24"/>
        </w:rPr>
      </w:pPr>
      <w:r>
        <w:rPr>
          <w:rFonts w:ascii="Arial" w:hAnsi="Arial"/>
          <w:sz w:val="24"/>
        </w:rPr>
        <w:t>Ciclos de cuentacuentos en Bibliotecas, dinamización de la lectura – actividades</w:t>
      </w:r>
      <w:r>
        <w:rPr>
          <w:rFonts w:ascii="Arial" w:hAnsi="Arial"/>
          <w:spacing w:val="-1"/>
          <w:sz w:val="24"/>
        </w:rPr>
        <w:t> </w:t>
      </w:r>
      <w:r>
        <w:rPr>
          <w:rFonts w:ascii="Arial" w:hAnsi="Arial"/>
          <w:sz w:val="24"/>
        </w:rPr>
        <w:t>anuales</w:t>
      </w:r>
    </w:p>
    <w:p>
      <w:pPr>
        <w:pStyle w:val="ListParagraph"/>
        <w:numPr>
          <w:ilvl w:val="0"/>
          <w:numId w:val="7"/>
        </w:numPr>
        <w:tabs>
          <w:tab w:pos="578" w:val="left" w:leader="none"/>
        </w:tabs>
        <w:spacing w:line="276" w:lineRule="auto" w:before="141" w:after="0"/>
        <w:ind w:left="402" w:right="264" w:firstLine="0"/>
        <w:jc w:val="both"/>
        <w:rPr>
          <w:rFonts w:ascii="Arial" w:hAnsi="Arial"/>
          <w:sz w:val="24"/>
        </w:rPr>
      </w:pPr>
      <w:r>
        <w:rPr>
          <w:rFonts w:ascii="Arial" w:hAnsi="Arial"/>
          <w:sz w:val="24"/>
        </w:rPr>
        <w:t>Espectáculos para el fomento del folclore, conciertos de Escuela de Música folclórica de Tías, conciertos de folclore con voces de las islas, así como con tocadores de</w:t>
      </w:r>
      <w:r>
        <w:rPr>
          <w:rFonts w:ascii="Arial" w:hAnsi="Arial"/>
          <w:spacing w:val="-1"/>
          <w:sz w:val="24"/>
        </w:rPr>
        <w:t> </w:t>
      </w:r>
      <w:r>
        <w:rPr>
          <w:rFonts w:ascii="Arial" w:hAnsi="Arial"/>
          <w:sz w:val="24"/>
        </w:rPr>
        <w:t>Lanzarote</w:t>
      </w:r>
    </w:p>
    <w:p>
      <w:pPr>
        <w:pStyle w:val="ListParagraph"/>
        <w:numPr>
          <w:ilvl w:val="0"/>
          <w:numId w:val="7"/>
        </w:numPr>
        <w:tabs>
          <w:tab w:pos="549" w:val="left" w:leader="none"/>
        </w:tabs>
        <w:spacing w:line="240" w:lineRule="auto" w:before="139" w:after="0"/>
        <w:ind w:left="548" w:right="0" w:hanging="147"/>
        <w:jc w:val="both"/>
        <w:rPr>
          <w:rFonts w:ascii="Arial" w:hAnsi="Arial"/>
          <w:sz w:val="24"/>
        </w:rPr>
      </w:pPr>
      <w:r>
        <w:rPr>
          <w:rFonts w:ascii="Arial" w:hAnsi="Arial"/>
          <w:sz w:val="24"/>
        </w:rPr>
        <w:t>IV Semana Cultural de Tías – celebración de las letras en el mes de</w:t>
      </w:r>
      <w:r>
        <w:rPr>
          <w:rFonts w:ascii="Arial" w:hAnsi="Arial"/>
          <w:spacing w:val="-22"/>
          <w:sz w:val="24"/>
        </w:rPr>
        <w:t> </w:t>
      </w:r>
      <w:r>
        <w:rPr>
          <w:rFonts w:ascii="Arial" w:hAnsi="Arial"/>
          <w:sz w:val="24"/>
        </w:rPr>
        <w:t>abril</w:t>
      </w:r>
    </w:p>
    <w:p>
      <w:pPr>
        <w:pStyle w:val="ListParagraph"/>
        <w:numPr>
          <w:ilvl w:val="0"/>
          <w:numId w:val="7"/>
        </w:numPr>
        <w:tabs>
          <w:tab w:pos="554" w:val="left" w:leader="none"/>
        </w:tabs>
        <w:spacing w:line="276" w:lineRule="auto" w:before="181" w:after="0"/>
        <w:ind w:left="402" w:right="266" w:firstLine="0"/>
        <w:jc w:val="both"/>
        <w:rPr>
          <w:rFonts w:ascii="Arial" w:hAnsi="Arial"/>
          <w:sz w:val="24"/>
        </w:rPr>
      </w:pPr>
      <w:r>
        <w:rPr>
          <w:rFonts w:ascii="Arial" w:hAnsi="Arial"/>
          <w:sz w:val="24"/>
        </w:rPr>
        <w:t>Celebraciones en homenaje a días señalados para la Cultura y el Arte: Día de la Danza, Día del </w:t>
      </w:r>
      <w:r>
        <w:rPr>
          <w:rFonts w:ascii="Arial" w:hAnsi="Arial"/>
          <w:spacing w:val="-5"/>
          <w:sz w:val="24"/>
        </w:rPr>
        <w:t>Teatro, </w:t>
      </w:r>
      <w:r>
        <w:rPr>
          <w:rFonts w:ascii="Arial" w:hAnsi="Arial"/>
          <w:sz w:val="24"/>
        </w:rPr>
        <w:t>Semana de la Literatura, Día de la</w:t>
      </w:r>
      <w:r>
        <w:rPr>
          <w:rFonts w:ascii="Arial" w:hAnsi="Arial"/>
          <w:spacing w:val="-18"/>
          <w:sz w:val="24"/>
        </w:rPr>
        <w:t> </w:t>
      </w:r>
      <w:r>
        <w:rPr>
          <w:rFonts w:ascii="Arial" w:hAnsi="Arial"/>
          <w:sz w:val="24"/>
        </w:rPr>
        <w:t>Poesía…</w:t>
      </w:r>
    </w:p>
    <w:p>
      <w:pPr>
        <w:pStyle w:val="ListParagraph"/>
        <w:numPr>
          <w:ilvl w:val="0"/>
          <w:numId w:val="7"/>
        </w:numPr>
        <w:tabs>
          <w:tab w:pos="554" w:val="left" w:leader="none"/>
        </w:tabs>
        <w:spacing w:line="276" w:lineRule="auto" w:before="141" w:after="0"/>
        <w:ind w:left="402" w:right="260" w:firstLine="0"/>
        <w:jc w:val="both"/>
        <w:rPr>
          <w:rFonts w:ascii="Arial" w:hAnsi="Arial"/>
          <w:sz w:val="24"/>
        </w:rPr>
      </w:pPr>
      <w:r>
        <w:rPr>
          <w:rFonts w:ascii="Arial" w:hAnsi="Arial"/>
          <w:sz w:val="24"/>
        </w:rPr>
        <w:t>Certamen literario “Cartas para una Fiesta” – durante las fiestas patronales de Pto. Del</w:t>
      </w:r>
      <w:r>
        <w:rPr>
          <w:rFonts w:ascii="Arial" w:hAnsi="Arial"/>
          <w:spacing w:val="-2"/>
          <w:sz w:val="24"/>
        </w:rPr>
        <w:t> </w:t>
      </w:r>
      <w:r>
        <w:rPr>
          <w:rFonts w:ascii="Arial" w:hAnsi="Arial"/>
          <w:sz w:val="24"/>
        </w:rPr>
        <w:t>Carmen</w:t>
      </w:r>
    </w:p>
    <w:p>
      <w:pPr>
        <w:pStyle w:val="ListParagraph"/>
        <w:numPr>
          <w:ilvl w:val="0"/>
          <w:numId w:val="7"/>
        </w:numPr>
        <w:tabs>
          <w:tab w:pos="618" w:val="left" w:leader="none"/>
        </w:tabs>
        <w:spacing w:line="276" w:lineRule="auto" w:before="140" w:after="0"/>
        <w:ind w:left="402" w:right="264" w:firstLine="0"/>
        <w:jc w:val="both"/>
        <w:rPr>
          <w:rFonts w:ascii="Arial" w:hAnsi="Arial"/>
          <w:sz w:val="24"/>
        </w:rPr>
      </w:pPr>
      <w:r>
        <w:rPr>
          <w:rFonts w:ascii="Arial" w:hAnsi="Arial"/>
          <w:sz w:val="24"/>
        </w:rPr>
        <w:t>Preparación diseños stand para Feria Insular de Artesanía, selección de material artístico artesanal, recopilación de material, montaje y desmontaje de Stand institucional de Feria insular</w:t>
      </w:r>
      <w:r>
        <w:rPr>
          <w:rFonts w:ascii="Arial" w:hAnsi="Arial"/>
          <w:spacing w:val="-8"/>
          <w:sz w:val="24"/>
        </w:rPr>
        <w:t> </w:t>
      </w:r>
      <w:r>
        <w:rPr>
          <w:rFonts w:ascii="Arial" w:hAnsi="Arial"/>
          <w:sz w:val="24"/>
        </w:rPr>
        <w:t>artesanía</w:t>
      </w:r>
    </w:p>
    <w:p>
      <w:pPr>
        <w:pStyle w:val="ListParagraph"/>
        <w:numPr>
          <w:ilvl w:val="0"/>
          <w:numId w:val="7"/>
        </w:numPr>
        <w:tabs>
          <w:tab w:pos="549" w:val="left" w:leader="none"/>
        </w:tabs>
        <w:spacing w:line="240" w:lineRule="auto" w:before="140" w:after="0"/>
        <w:ind w:left="548" w:right="0" w:hanging="147"/>
        <w:jc w:val="both"/>
        <w:rPr>
          <w:rFonts w:ascii="Arial" w:hAnsi="Arial"/>
          <w:sz w:val="24"/>
        </w:rPr>
      </w:pPr>
      <w:r>
        <w:rPr>
          <w:rFonts w:ascii="Arial" w:hAnsi="Arial"/>
          <w:sz w:val="24"/>
        </w:rPr>
        <w:t>2 escuelas de teatro: en español y en</w:t>
      </w:r>
      <w:r>
        <w:rPr>
          <w:rFonts w:ascii="Arial" w:hAnsi="Arial"/>
          <w:spacing w:val="-8"/>
          <w:sz w:val="24"/>
        </w:rPr>
        <w:t> </w:t>
      </w:r>
      <w:r>
        <w:rPr>
          <w:rFonts w:ascii="Arial" w:hAnsi="Arial"/>
          <w:sz w:val="24"/>
        </w:rPr>
        <w:t>inglés</w:t>
      </w:r>
    </w:p>
    <w:p>
      <w:pPr>
        <w:pStyle w:val="BodyText"/>
        <w:spacing w:line="276" w:lineRule="auto" w:before="180"/>
        <w:ind w:left="1121" w:right="260" w:hanging="360"/>
        <w:jc w:val="both"/>
        <w:rPr>
          <w:rFonts w:ascii="Arial" w:hAnsi="Arial"/>
        </w:rPr>
      </w:pPr>
      <w:r>
        <w:rPr>
          <w:rFonts w:ascii="Liberation Serif" w:hAnsi="Liberation Serif"/>
        </w:rPr>
        <w:t>- </w:t>
      </w:r>
      <w:r>
        <w:rPr>
          <w:rFonts w:ascii="Arial" w:hAnsi="Arial"/>
        </w:rPr>
        <w:t>ACTIVIDADES PROGRAMA CULTURAL EN MUNICIPIO: bordado, costura, telar, roseta, calado, cerámica, pintura, danza árabe, danza bollywood, bailes latinos, flamenco, zumba, corales, lecturas literarias, circo, idiomas, fotografía, teatro español e inglés, música, folclore.</w:t>
      </w:r>
    </w:p>
    <w:p>
      <w:pPr>
        <w:pStyle w:val="BodyText"/>
        <w:spacing w:before="141"/>
        <w:ind w:left="402"/>
        <w:rPr>
          <w:rFonts w:ascii="Arial" w:hAnsi="Arial"/>
        </w:rPr>
      </w:pPr>
      <w:r>
        <w:rPr>
          <w:rFonts w:ascii="Arial" w:hAnsi="Arial"/>
        </w:rPr>
        <w:t>·</w:t>
      </w:r>
    </w:p>
    <w:p>
      <w:pPr>
        <w:pStyle w:val="Heading4"/>
        <w:spacing w:before="180"/>
        <w:rPr>
          <w:rFonts w:ascii="Arial"/>
          <w:b w:val="0"/>
        </w:rPr>
      </w:pPr>
      <w:r>
        <w:rPr>
          <w:rFonts w:ascii="Arial"/>
        </w:rPr>
        <w:t>FESTIVALES y CONGRESO</w:t>
      </w:r>
      <w:r>
        <w:rPr>
          <w:rFonts w:ascii="Arial"/>
          <w:b w:val="0"/>
        </w:rPr>
        <w:t>:</w:t>
      </w:r>
    </w:p>
    <w:p>
      <w:pPr>
        <w:pStyle w:val="ListParagraph"/>
        <w:numPr>
          <w:ilvl w:val="0"/>
          <w:numId w:val="9"/>
        </w:numPr>
        <w:tabs>
          <w:tab w:pos="1122" w:val="left" w:leader="none"/>
        </w:tabs>
        <w:spacing w:line="240" w:lineRule="auto" w:before="182" w:after="0"/>
        <w:ind w:left="1122" w:right="0" w:hanging="361"/>
        <w:jc w:val="left"/>
        <w:rPr>
          <w:rFonts w:ascii="Arial" w:hAnsi="Arial"/>
          <w:sz w:val="24"/>
        </w:rPr>
      </w:pPr>
      <w:r>
        <w:rPr>
          <w:rFonts w:ascii="Arial" w:hAnsi="Arial"/>
          <w:spacing w:val="-3"/>
          <w:sz w:val="24"/>
        </w:rPr>
        <w:t>FESTIVAL </w:t>
      </w:r>
      <w:r>
        <w:rPr>
          <w:rFonts w:ascii="Arial" w:hAnsi="Arial"/>
          <w:sz w:val="24"/>
        </w:rPr>
        <w:t>ARTES ESCÉNICAS TITIRITIAS – circo y</w:t>
      </w:r>
      <w:r>
        <w:rPr>
          <w:rFonts w:ascii="Arial" w:hAnsi="Arial"/>
          <w:spacing w:val="-26"/>
          <w:sz w:val="24"/>
        </w:rPr>
        <w:t> </w:t>
      </w:r>
      <w:r>
        <w:rPr>
          <w:rFonts w:ascii="Arial" w:hAnsi="Arial"/>
          <w:sz w:val="24"/>
        </w:rPr>
        <w:t>títeres</w:t>
      </w:r>
    </w:p>
    <w:p>
      <w:pPr>
        <w:pStyle w:val="ListParagraph"/>
        <w:numPr>
          <w:ilvl w:val="0"/>
          <w:numId w:val="9"/>
        </w:numPr>
        <w:tabs>
          <w:tab w:pos="1122" w:val="left" w:leader="none"/>
        </w:tabs>
        <w:spacing w:line="240" w:lineRule="auto" w:before="183" w:after="0"/>
        <w:ind w:left="1122" w:right="0" w:hanging="361"/>
        <w:jc w:val="left"/>
        <w:rPr>
          <w:rFonts w:ascii="Arial"/>
          <w:sz w:val="24"/>
        </w:rPr>
      </w:pPr>
      <w:r>
        <w:rPr>
          <w:rFonts w:ascii="Arial"/>
          <w:spacing w:val="-3"/>
          <w:sz w:val="24"/>
        </w:rPr>
        <w:t>FESTIVAL AMATEUR</w:t>
      </w:r>
      <w:r>
        <w:rPr>
          <w:rFonts w:ascii="Arial"/>
          <w:spacing w:val="-25"/>
          <w:sz w:val="24"/>
        </w:rPr>
        <w:t> </w:t>
      </w:r>
      <w:r>
        <w:rPr>
          <w:rFonts w:ascii="Arial"/>
          <w:spacing w:val="-4"/>
          <w:sz w:val="24"/>
        </w:rPr>
        <w:t>TEATRO</w:t>
      </w:r>
    </w:p>
    <w:p>
      <w:pPr>
        <w:pStyle w:val="ListParagraph"/>
        <w:numPr>
          <w:ilvl w:val="0"/>
          <w:numId w:val="9"/>
        </w:numPr>
        <w:tabs>
          <w:tab w:pos="1122" w:val="left" w:leader="none"/>
        </w:tabs>
        <w:spacing w:line="240" w:lineRule="auto" w:before="180" w:after="0"/>
        <w:ind w:left="1122" w:right="0" w:hanging="361"/>
        <w:jc w:val="left"/>
        <w:rPr>
          <w:rFonts w:ascii="Arial"/>
          <w:sz w:val="24"/>
        </w:rPr>
      </w:pPr>
      <w:r>
        <w:rPr>
          <w:rFonts w:ascii="Arial"/>
          <w:spacing w:val="-3"/>
          <w:sz w:val="24"/>
        </w:rPr>
        <w:t>FESTIVAL PALABRAS </w:t>
      </w:r>
      <w:r>
        <w:rPr>
          <w:rFonts w:ascii="Arial"/>
          <w:sz w:val="24"/>
        </w:rPr>
        <w:t>AL</w:t>
      </w:r>
      <w:r>
        <w:rPr>
          <w:rFonts w:ascii="Arial"/>
          <w:spacing w:val="-28"/>
          <w:sz w:val="24"/>
        </w:rPr>
        <w:t> </w:t>
      </w:r>
      <w:r>
        <w:rPr>
          <w:rFonts w:ascii="Arial"/>
          <w:sz w:val="24"/>
        </w:rPr>
        <w:t>VUELO</w:t>
      </w:r>
    </w:p>
    <w:p>
      <w:pPr>
        <w:pStyle w:val="ListParagraph"/>
        <w:numPr>
          <w:ilvl w:val="0"/>
          <w:numId w:val="9"/>
        </w:numPr>
        <w:tabs>
          <w:tab w:pos="1122" w:val="left" w:leader="none"/>
        </w:tabs>
        <w:spacing w:line="240" w:lineRule="auto" w:before="182" w:after="0"/>
        <w:ind w:left="1122" w:right="0" w:hanging="361"/>
        <w:jc w:val="left"/>
        <w:rPr>
          <w:rFonts w:ascii="Arial" w:hAnsi="Arial"/>
          <w:sz w:val="24"/>
        </w:rPr>
      </w:pPr>
      <w:r>
        <w:rPr>
          <w:rFonts w:ascii="Arial" w:hAnsi="Arial"/>
          <w:spacing w:val="-3"/>
          <w:sz w:val="24"/>
        </w:rPr>
        <w:t>FESTIVAL </w:t>
      </w:r>
      <w:r>
        <w:rPr>
          <w:rFonts w:ascii="Arial" w:hAnsi="Arial"/>
          <w:sz w:val="24"/>
        </w:rPr>
        <w:t>TRASLACIÓN – danza</w:t>
      </w:r>
      <w:r>
        <w:rPr>
          <w:rFonts w:ascii="Arial" w:hAnsi="Arial"/>
          <w:spacing w:val="-10"/>
          <w:sz w:val="24"/>
        </w:rPr>
        <w:t> </w:t>
      </w:r>
      <w:r>
        <w:rPr>
          <w:rFonts w:ascii="Arial" w:hAnsi="Arial"/>
          <w:sz w:val="24"/>
        </w:rPr>
        <w:t>contemporánea</w:t>
      </w:r>
    </w:p>
    <w:p>
      <w:pPr>
        <w:pStyle w:val="ListParagraph"/>
        <w:numPr>
          <w:ilvl w:val="0"/>
          <w:numId w:val="9"/>
        </w:numPr>
        <w:tabs>
          <w:tab w:pos="1122" w:val="left" w:leader="none"/>
        </w:tabs>
        <w:spacing w:line="240" w:lineRule="auto" w:before="181" w:after="0"/>
        <w:ind w:left="1122" w:right="0" w:hanging="361"/>
        <w:jc w:val="left"/>
        <w:rPr>
          <w:rFonts w:ascii="Arial" w:hAnsi="Arial"/>
          <w:sz w:val="24"/>
        </w:rPr>
      </w:pPr>
      <w:r>
        <w:rPr>
          <w:rFonts w:ascii="Arial" w:hAnsi="Arial"/>
          <w:spacing w:val="-3"/>
          <w:sz w:val="24"/>
        </w:rPr>
        <w:t>FESTIVAL </w:t>
      </w:r>
      <w:r>
        <w:rPr>
          <w:rFonts w:ascii="Arial" w:hAnsi="Arial"/>
          <w:sz w:val="24"/>
        </w:rPr>
        <w:t>NOVELA NEGRA “ III TÍAS</w:t>
      </w:r>
      <w:r>
        <w:rPr>
          <w:rFonts w:ascii="Arial" w:hAnsi="Arial"/>
          <w:spacing w:val="-39"/>
          <w:sz w:val="24"/>
        </w:rPr>
        <w:t> </w:t>
      </w:r>
      <w:r>
        <w:rPr>
          <w:rFonts w:ascii="Arial" w:hAnsi="Arial"/>
          <w:sz w:val="24"/>
        </w:rPr>
        <w:t>NOIR”</w:t>
      </w:r>
    </w:p>
    <w:p>
      <w:pPr>
        <w:pStyle w:val="ListParagraph"/>
        <w:numPr>
          <w:ilvl w:val="0"/>
          <w:numId w:val="9"/>
        </w:numPr>
        <w:tabs>
          <w:tab w:pos="1122" w:val="left" w:leader="none"/>
        </w:tabs>
        <w:spacing w:line="240" w:lineRule="auto" w:before="182" w:after="0"/>
        <w:ind w:left="1122" w:right="0" w:hanging="361"/>
        <w:jc w:val="left"/>
        <w:rPr>
          <w:rFonts w:ascii="Arial"/>
          <w:sz w:val="24"/>
        </w:rPr>
      </w:pPr>
      <w:r>
        <w:rPr>
          <w:rFonts w:ascii="Arial"/>
          <w:spacing w:val="-4"/>
          <w:sz w:val="24"/>
        </w:rPr>
        <w:t>CERTAMEN </w:t>
      </w:r>
      <w:r>
        <w:rPr>
          <w:rFonts w:ascii="Arial"/>
          <w:sz w:val="24"/>
        </w:rPr>
        <w:t>LITERARIO </w:t>
      </w:r>
      <w:r>
        <w:rPr>
          <w:rFonts w:ascii="Arial"/>
          <w:spacing w:val="-4"/>
          <w:sz w:val="24"/>
        </w:rPr>
        <w:t>CARTAS </w:t>
      </w:r>
      <w:r>
        <w:rPr>
          <w:rFonts w:ascii="Arial"/>
          <w:spacing w:val="-5"/>
          <w:sz w:val="24"/>
        </w:rPr>
        <w:t>PARA </w:t>
      </w:r>
      <w:r>
        <w:rPr>
          <w:rFonts w:ascii="Arial"/>
          <w:sz w:val="24"/>
        </w:rPr>
        <w:t>UNA</w:t>
      </w:r>
      <w:r>
        <w:rPr>
          <w:rFonts w:ascii="Arial"/>
          <w:spacing w:val="-17"/>
          <w:sz w:val="24"/>
        </w:rPr>
        <w:t> </w:t>
      </w:r>
      <w:r>
        <w:rPr>
          <w:rFonts w:ascii="Arial"/>
          <w:spacing w:val="-3"/>
          <w:sz w:val="24"/>
        </w:rPr>
        <w:t>FIESTA</w:t>
      </w:r>
    </w:p>
    <w:p>
      <w:pPr>
        <w:pStyle w:val="ListParagraph"/>
        <w:numPr>
          <w:ilvl w:val="0"/>
          <w:numId w:val="9"/>
        </w:numPr>
        <w:tabs>
          <w:tab w:pos="1122" w:val="left" w:leader="none"/>
        </w:tabs>
        <w:spacing w:line="240" w:lineRule="auto" w:before="180" w:after="0"/>
        <w:ind w:left="1122" w:right="0" w:hanging="361"/>
        <w:jc w:val="left"/>
        <w:rPr>
          <w:rFonts w:ascii="Arial"/>
          <w:sz w:val="24"/>
        </w:rPr>
      </w:pPr>
      <w:r>
        <w:rPr>
          <w:rFonts w:ascii="Arial"/>
          <w:sz w:val="24"/>
        </w:rPr>
        <w:t>MUESTRA DE CINE DE LANZAROTE -</w:t>
      </w:r>
      <w:r>
        <w:rPr>
          <w:rFonts w:ascii="Arial"/>
          <w:spacing w:val="-18"/>
          <w:sz w:val="24"/>
        </w:rPr>
        <w:t> </w:t>
      </w:r>
      <w:r>
        <w:rPr>
          <w:rFonts w:ascii="Arial"/>
          <w:sz w:val="24"/>
        </w:rPr>
        <w:t>DESTILADERA</w:t>
      </w:r>
    </w:p>
    <w:p>
      <w:pPr>
        <w:pStyle w:val="ListParagraph"/>
        <w:numPr>
          <w:ilvl w:val="0"/>
          <w:numId w:val="9"/>
        </w:numPr>
        <w:tabs>
          <w:tab w:pos="1122" w:val="left" w:leader="none"/>
        </w:tabs>
        <w:spacing w:line="240" w:lineRule="auto" w:before="183" w:after="0"/>
        <w:ind w:left="1122" w:right="0" w:hanging="361"/>
        <w:jc w:val="left"/>
        <w:rPr>
          <w:rFonts w:ascii="Arial" w:hAnsi="Arial"/>
          <w:sz w:val="24"/>
        </w:rPr>
      </w:pPr>
      <w:r>
        <w:rPr>
          <w:rFonts w:ascii="Arial" w:hAnsi="Arial"/>
          <w:sz w:val="24"/>
        </w:rPr>
        <w:t>CONCIERTOS DE MÚSICA</w:t>
      </w:r>
      <w:r>
        <w:rPr>
          <w:rFonts w:ascii="Arial" w:hAnsi="Arial"/>
          <w:spacing w:val="-14"/>
          <w:sz w:val="24"/>
        </w:rPr>
        <w:t> </w:t>
      </w:r>
      <w:r>
        <w:rPr>
          <w:rFonts w:ascii="Arial" w:hAnsi="Arial"/>
          <w:sz w:val="24"/>
        </w:rPr>
        <w:t>CLÁSICA</w:t>
      </w:r>
    </w:p>
    <w:p>
      <w:pPr>
        <w:pStyle w:val="ListParagraph"/>
        <w:numPr>
          <w:ilvl w:val="0"/>
          <w:numId w:val="9"/>
        </w:numPr>
        <w:tabs>
          <w:tab w:pos="1122" w:val="left" w:leader="none"/>
        </w:tabs>
        <w:spacing w:line="240" w:lineRule="auto" w:before="182" w:after="0"/>
        <w:ind w:left="1122" w:right="0" w:hanging="361"/>
        <w:jc w:val="left"/>
        <w:rPr>
          <w:rFonts w:ascii="Arial" w:hAnsi="Arial"/>
          <w:sz w:val="24"/>
        </w:rPr>
      </w:pPr>
      <w:r>
        <w:rPr>
          <w:rFonts w:ascii="Arial" w:hAnsi="Arial"/>
          <w:sz w:val="24"/>
        </w:rPr>
        <w:t>CONCIERTOS DE MÚSICA</w:t>
      </w:r>
      <w:r>
        <w:rPr>
          <w:rFonts w:ascii="Arial" w:hAnsi="Arial"/>
          <w:spacing w:val="-15"/>
          <w:sz w:val="24"/>
        </w:rPr>
        <w:t> </w:t>
      </w:r>
      <w:r>
        <w:rPr>
          <w:rFonts w:ascii="Arial" w:hAnsi="Arial"/>
          <w:sz w:val="24"/>
        </w:rPr>
        <w:t>CONTEMPORÁNEA</w:t>
      </w:r>
    </w:p>
    <w:p>
      <w:pPr>
        <w:spacing w:after="0" w:line="240" w:lineRule="auto"/>
        <w:jc w:val="left"/>
        <w:rPr>
          <w:rFonts w:ascii="Arial" w:hAnsi="Arial"/>
          <w:sz w:val="24"/>
        </w:rPr>
        <w:sectPr>
          <w:pgSz w:w="11910" w:h="16840"/>
          <w:pgMar w:header="1217" w:footer="0" w:top="2740" w:bottom="280" w:left="1300" w:right="1440"/>
        </w:sectPr>
      </w:pPr>
    </w:p>
    <w:p>
      <w:pPr>
        <w:pStyle w:val="BodyText"/>
        <w:rPr>
          <w:rFonts w:ascii="Arial"/>
          <w:sz w:val="20"/>
        </w:rPr>
      </w:pPr>
    </w:p>
    <w:p>
      <w:pPr>
        <w:pStyle w:val="BodyText"/>
        <w:spacing w:before="2"/>
        <w:rPr>
          <w:rFonts w:ascii="Arial"/>
          <w:sz w:val="19"/>
        </w:rPr>
      </w:pPr>
    </w:p>
    <w:p>
      <w:pPr>
        <w:pStyle w:val="ListParagraph"/>
        <w:numPr>
          <w:ilvl w:val="0"/>
          <w:numId w:val="9"/>
        </w:numPr>
        <w:tabs>
          <w:tab w:pos="1122" w:val="left" w:leader="none"/>
        </w:tabs>
        <w:spacing w:line="240" w:lineRule="auto" w:before="92" w:after="0"/>
        <w:ind w:left="1122" w:right="0" w:hanging="361"/>
        <w:jc w:val="left"/>
        <w:rPr>
          <w:rFonts w:ascii="Arial" w:hAnsi="Arial"/>
          <w:sz w:val="24"/>
        </w:rPr>
      </w:pPr>
      <w:r>
        <w:rPr>
          <w:rFonts w:ascii="Arial" w:hAnsi="Arial"/>
          <w:sz w:val="24"/>
        </w:rPr>
        <w:t>CONCIERTOS DE ARIAS</w:t>
      </w:r>
      <w:r>
        <w:rPr>
          <w:rFonts w:ascii="Arial" w:hAnsi="Arial"/>
          <w:spacing w:val="-15"/>
          <w:sz w:val="24"/>
        </w:rPr>
        <w:t> </w:t>
      </w:r>
      <w:r>
        <w:rPr>
          <w:rFonts w:ascii="Arial" w:hAnsi="Arial"/>
          <w:sz w:val="24"/>
        </w:rPr>
        <w:t>OPERÍSTICAS</w:t>
      </w:r>
    </w:p>
    <w:p>
      <w:pPr>
        <w:pStyle w:val="ListParagraph"/>
        <w:numPr>
          <w:ilvl w:val="0"/>
          <w:numId w:val="9"/>
        </w:numPr>
        <w:tabs>
          <w:tab w:pos="1122" w:val="left" w:leader="none"/>
        </w:tabs>
        <w:spacing w:line="240" w:lineRule="auto" w:before="180" w:after="0"/>
        <w:ind w:left="1122" w:right="0" w:hanging="361"/>
        <w:jc w:val="left"/>
        <w:rPr>
          <w:rFonts w:ascii="Arial"/>
          <w:sz w:val="24"/>
        </w:rPr>
      </w:pPr>
      <w:r>
        <w:rPr>
          <w:rFonts w:ascii="Arial"/>
          <w:sz w:val="24"/>
        </w:rPr>
        <w:t>CONCIERTO DE la</w:t>
      </w:r>
      <w:r>
        <w:rPr>
          <w:rFonts w:ascii="Arial"/>
          <w:spacing w:val="-1"/>
          <w:sz w:val="24"/>
        </w:rPr>
        <w:t> </w:t>
      </w:r>
      <w:r>
        <w:rPr>
          <w:rFonts w:ascii="Arial"/>
          <w:sz w:val="24"/>
        </w:rPr>
        <w:t>ZARZUELA</w:t>
      </w:r>
    </w:p>
    <w:p>
      <w:pPr>
        <w:pStyle w:val="ListParagraph"/>
        <w:numPr>
          <w:ilvl w:val="0"/>
          <w:numId w:val="9"/>
        </w:numPr>
        <w:tabs>
          <w:tab w:pos="1122" w:val="left" w:leader="none"/>
        </w:tabs>
        <w:spacing w:line="240" w:lineRule="auto" w:before="183" w:after="0"/>
        <w:ind w:left="1122" w:right="0" w:hanging="361"/>
        <w:jc w:val="left"/>
        <w:rPr>
          <w:rFonts w:ascii="Arial" w:hAnsi="Arial"/>
          <w:sz w:val="24"/>
        </w:rPr>
      </w:pPr>
      <w:r>
        <w:rPr>
          <w:rFonts w:ascii="Arial" w:hAnsi="Arial"/>
          <w:sz w:val="24"/>
        </w:rPr>
        <w:t>PROYECCIÓN DOCUMENTALES CON ASOC. TENIQUE</w:t>
      </w:r>
      <w:r>
        <w:rPr>
          <w:rFonts w:ascii="Arial" w:hAnsi="Arial"/>
          <w:spacing w:val="-32"/>
          <w:sz w:val="24"/>
        </w:rPr>
        <w:t> </w:t>
      </w:r>
      <w:r>
        <w:rPr>
          <w:rFonts w:ascii="Arial" w:hAnsi="Arial"/>
          <w:spacing w:val="-4"/>
          <w:sz w:val="24"/>
        </w:rPr>
        <w:t>CULTURAL</w:t>
      </w:r>
    </w:p>
    <w:p>
      <w:pPr>
        <w:pStyle w:val="ListParagraph"/>
        <w:numPr>
          <w:ilvl w:val="0"/>
          <w:numId w:val="9"/>
        </w:numPr>
        <w:tabs>
          <w:tab w:pos="1122" w:val="left" w:leader="none"/>
        </w:tabs>
        <w:spacing w:line="240" w:lineRule="auto" w:before="182" w:after="0"/>
        <w:ind w:left="1122" w:right="0" w:hanging="361"/>
        <w:jc w:val="left"/>
        <w:rPr>
          <w:rFonts w:ascii="Arial"/>
          <w:sz w:val="24"/>
        </w:rPr>
      </w:pPr>
      <w:r>
        <w:rPr>
          <w:rFonts w:ascii="Arial"/>
          <w:spacing w:val="-3"/>
          <w:sz w:val="24"/>
        </w:rPr>
        <w:t>FESTIVAL </w:t>
      </w:r>
      <w:r>
        <w:rPr>
          <w:rFonts w:ascii="Arial"/>
          <w:sz w:val="24"/>
        </w:rPr>
        <w:t>DE DANZA </w:t>
      </w:r>
      <w:r>
        <w:rPr>
          <w:rFonts w:ascii="Arial"/>
          <w:spacing w:val="-3"/>
          <w:sz w:val="24"/>
        </w:rPr>
        <w:t>BEATRIZ</w:t>
      </w:r>
      <w:r>
        <w:rPr>
          <w:rFonts w:ascii="Arial"/>
          <w:spacing w:val="-22"/>
          <w:sz w:val="24"/>
        </w:rPr>
        <w:t> </w:t>
      </w:r>
      <w:r>
        <w:rPr>
          <w:rFonts w:ascii="Arial"/>
          <w:sz w:val="24"/>
        </w:rPr>
        <w:t>SENENT</w:t>
      </w:r>
    </w:p>
    <w:p>
      <w:pPr>
        <w:pStyle w:val="ListParagraph"/>
        <w:numPr>
          <w:ilvl w:val="0"/>
          <w:numId w:val="9"/>
        </w:numPr>
        <w:tabs>
          <w:tab w:pos="1122" w:val="left" w:leader="none"/>
        </w:tabs>
        <w:spacing w:line="240" w:lineRule="auto" w:before="180" w:after="0"/>
        <w:ind w:left="1122" w:right="0" w:hanging="361"/>
        <w:jc w:val="left"/>
        <w:rPr>
          <w:rFonts w:ascii="Arial"/>
          <w:sz w:val="24"/>
        </w:rPr>
      </w:pPr>
      <w:r>
        <w:rPr>
          <w:rFonts w:ascii="Arial"/>
          <w:spacing w:val="-3"/>
          <w:sz w:val="24"/>
        </w:rPr>
        <w:t>FESTIVAL </w:t>
      </w:r>
      <w:r>
        <w:rPr>
          <w:rFonts w:ascii="Arial"/>
          <w:sz w:val="24"/>
        </w:rPr>
        <w:t>DE DANZA ANMY</w:t>
      </w:r>
      <w:r>
        <w:rPr>
          <w:rFonts w:ascii="Arial"/>
          <w:spacing w:val="-42"/>
          <w:sz w:val="24"/>
        </w:rPr>
        <w:t> </w:t>
      </w:r>
      <w:r>
        <w:rPr>
          <w:rFonts w:ascii="Arial"/>
          <w:sz w:val="24"/>
        </w:rPr>
        <w:t>RGUEZ</w:t>
      </w:r>
    </w:p>
    <w:p>
      <w:pPr>
        <w:pStyle w:val="ListParagraph"/>
        <w:numPr>
          <w:ilvl w:val="0"/>
          <w:numId w:val="9"/>
        </w:numPr>
        <w:tabs>
          <w:tab w:pos="1122" w:val="left" w:leader="none"/>
        </w:tabs>
        <w:spacing w:line="276" w:lineRule="auto" w:before="183" w:after="0"/>
        <w:ind w:left="1121" w:right="259" w:hanging="360"/>
        <w:jc w:val="left"/>
        <w:rPr>
          <w:rFonts w:ascii="Arial" w:hAnsi="Arial"/>
          <w:sz w:val="24"/>
        </w:rPr>
      </w:pPr>
      <w:r>
        <w:rPr>
          <w:rFonts w:ascii="Arial" w:hAnsi="Arial"/>
          <w:spacing w:val="-3"/>
          <w:sz w:val="24"/>
        </w:rPr>
        <w:t>FESTIVAL </w:t>
      </w:r>
      <w:r>
        <w:rPr>
          <w:rFonts w:ascii="Arial" w:hAnsi="Arial"/>
          <w:spacing w:val="-7"/>
          <w:sz w:val="24"/>
        </w:rPr>
        <w:t>INT. </w:t>
      </w:r>
      <w:r>
        <w:rPr>
          <w:rFonts w:ascii="Arial" w:hAnsi="Arial"/>
          <w:sz w:val="24"/>
        </w:rPr>
        <w:t>MÚSICA DE CANARIAS – cooperación con Gob. canario y</w:t>
      </w:r>
      <w:r>
        <w:rPr>
          <w:rFonts w:ascii="Arial" w:hAnsi="Arial"/>
          <w:spacing w:val="-1"/>
          <w:sz w:val="24"/>
        </w:rPr>
        <w:t> </w:t>
      </w:r>
      <w:r>
        <w:rPr>
          <w:rFonts w:ascii="Arial" w:hAnsi="Arial"/>
          <w:sz w:val="24"/>
        </w:rPr>
        <w:t>cabildo.</w:t>
      </w:r>
    </w:p>
    <w:p>
      <w:pPr>
        <w:pStyle w:val="ListParagraph"/>
        <w:numPr>
          <w:ilvl w:val="0"/>
          <w:numId w:val="9"/>
        </w:numPr>
        <w:tabs>
          <w:tab w:pos="1122" w:val="left" w:leader="none"/>
        </w:tabs>
        <w:spacing w:line="240" w:lineRule="auto" w:before="138" w:after="0"/>
        <w:ind w:left="1122" w:right="0" w:hanging="361"/>
        <w:jc w:val="left"/>
        <w:rPr>
          <w:rFonts w:ascii="Arial"/>
          <w:sz w:val="24"/>
        </w:rPr>
      </w:pPr>
      <w:r>
        <w:rPr>
          <w:rFonts w:ascii="Arial"/>
          <w:spacing w:val="-3"/>
          <w:sz w:val="24"/>
        </w:rPr>
        <w:t>FESTIVAL </w:t>
      </w:r>
      <w:r>
        <w:rPr>
          <w:rFonts w:ascii="Arial"/>
          <w:spacing w:val="-8"/>
          <w:sz w:val="24"/>
        </w:rPr>
        <w:t>INT. </w:t>
      </w:r>
      <w:r>
        <w:rPr>
          <w:rFonts w:ascii="Arial"/>
          <w:spacing w:val="-4"/>
          <w:sz w:val="24"/>
        </w:rPr>
        <w:t>FADOS</w:t>
      </w:r>
    </w:p>
    <w:p>
      <w:pPr>
        <w:pStyle w:val="ListParagraph"/>
        <w:numPr>
          <w:ilvl w:val="0"/>
          <w:numId w:val="9"/>
        </w:numPr>
        <w:tabs>
          <w:tab w:pos="1122" w:val="left" w:leader="none"/>
        </w:tabs>
        <w:spacing w:line="240" w:lineRule="auto" w:before="183" w:after="0"/>
        <w:ind w:left="1122" w:right="0" w:hanging="361"/>
        <w:jc w:val="left"/>
        <w:rPr>
          <w:rFonts w:ascii="Arial"/>
          <w:sz w:val="24"/>
        </w:rPr>
      </w:pPr>
      <w:r>
        <w:rPr>
          <w:rFonts w:ascii="Arial"/>
          <w:spacing w:val="-3"/>
          <w:sz w:val="24"/>
        </w:rPr>
        <w:t>FESTIVAL</w:t>
      </w:r>
      <w:r>
        <w:rPr>
          <w:rFonts w:ascii="Arial"/>
          <w:spacing w:val="-13"/>
          <w:sz w:val="24"/>
        </w:rPr>
        <w:t> </w:t>
      </w:r>
      <w:r>
        <w:rPr>
          <w:rFonts w:ascii="Arial"/>
          <w:spacing w:val="-4"/>
          <w:sz w:val="24"/>
        </w:rPr>
        <w:t>TANGOS</w:t>
      </w:r>
    </w:p>
    <w:p>
      <w:pPr>
        <w:pStyle w:val="ListParagraph"/>
        <w:numPr>
          <w:ilvl w:val="0"/>
          <w:numId w:val="9"/>
        </w:numPr>
        <w:tabs>
          <w:tab w:pos="1122" w:val="left" w:leader="none"/>
        </w:tabs>
        <w:spacing w:line="240" w:lineRule="auto" w:before="182" w:after="0"/>
        <w:ind w:left="1122" w:right="0" w:hanging="361"/>
        <w:jc w:val="left"/>
        <w:rPr>
          <w:rFonts w:ascii="Arial" w:hAnsi="Arial"/>
          <w:sz w:val="24"/>
        </w:rPr>
      </w:pPr>
      <w:r>
        <w:rPr>
          <w:rFonts w:ascii="Arial" w:hAnsi="Arial"/>
          <w:sz w:val="24"/>
        </w:rPr>
        <w:t>CELEBRACIÓN </w:t>
      </w:r>
      <w:r>
        <w:rPr>
          <w:rFonts w:ascii="Arial" w:hAnsi="Arial"/>
          <w:spacing w:val="-3"/>
          <w:sz w:val="24"/>
        </w:rPr>
        <w:t>FIESTAS: </w:t>
      </w:r>
      <w:r>
        <w:rPr>
          <w:rFonts w:ascii="Arial" w:hAnsi="Arial"/>
          <w:sz w:val="24"/>
        </w:rPr>
        <w:t>COMUNIDAD HINDÚ, COMUNIDAD</w:t>
      </w:r>
      <w:r>
        <w:rPr>
          <w:rFonts w:ascii="Arial" w:hAnsi="Arial"/>
          <w:spacing w:val="-11"/>
          <w:sz w:val="24"/>
        </w:rPr>
        <w:t> </w:t>
      </w:r>
      <w:r>
        <w:rPr>
          <w:rFonts w:ascii="Arial" w:hAnsi="Arial"/>
          <w:sz w:val="24"/>
        </w:rPr>
        <w:t>CHINA</w:t>
      </w:r>
    </w:p>
    <w:p>
      <w:pPr>
        <w:pStyle w:val="ListParagraph"/>
        <w:numPr>
          <w:ilvl w:val="0"/>
          <w:numId w:val="9"/>
        </w:numPr>
        <w:tabs>
          <w:tab w:pos="1122" w:val="left" w:leader="none"/>
        </w:tabs>
        <w:spacing w:line="240" w:lineRule="auto" w:before="180" w:after="0"/>
        <w:ind w:left="1122" w:right="0" w:hanging="361"/>
        <w:jc w:val="left"/>
        <w:rPr>
          <w:rFonts w:ascii="Arial" w:hAnsi="Arial"/>
          <w:sz w:val="24"/>
        </w:rPr>
      </w:pPr>
      <w:r>
        <w:rPr>
          <w:rFonts w:ascii="Arial" w:hAnsi="Arial"/>
          <w:sz w:val="24"/>
        </w:rPr>
        <w:t>ROMERÍA DE</w:t>
      </w:r>
      <w:r>
        <w:rPr>
          <w:rFonts w:ascii="Arial" w:hAnsi="Arial"/>
          <w:spacing w:val="-15"/>
          <w:sz w:val="24"/>
        </w:rPr>
        <w:t> </w:t>
      </w:r>
      <w:r>
        <w:rPr>
          <w:rFonts w:ascii="Arial" w:hAnsi="Arial"/>
          <w:sz w:val="24"/>
        </w:rPr>
        <w:t>DOLORES</w:t>
      </w:r>
    </w:p>
    <w:p>
      <w:pPr>
        <w:pStyle w:val="ListParagraph"/>
        <w:numPr>
          <w:ilvl w:val="0"/>
          <w:numId w:val="9"/>
        </w:numPr>
        <w:tabs>
          <w:tab w:pos="1122" w:val="left" w:leader="none"/>
        </w:tabs>
        <w:spacing w:line="240" w:lineRule="auto" w:before="182" w:after="0"/>
        <w:ind w:left="1122" w:right="0" w:hanging="361"/>
        <w:jc w:val="left"/>
        <w:rPr>
          <w:rFonts w:ascii="Arial" w:hAnsi="Arial"/>
          <w:sz w:val="24"/>
        </w:rPr>
      </w:pPr>
      <w:r>
        <w:rPr>
          <w:rFonts w:ascii="Arial" w:hAnsi="Arial"/>
          <w:sz w:val="24"/>
        </w:rPr>
        <w:t>FERIA</w:t>
      </w:r>
      <w:r>
        <w:rPr>
          <w:rFonts w:ascii="Arial" w:hAnsi="Arial"/>
          <w:spacing w:val="-29"/>
          <w:sz w:val="24"/>
        </w:rPr>
        <w:t> </w:t>
      </w:r>
      <w:r>
        <w:rPr>
          <w:rFonts w:ascii="Arial" w:hAnsi="Arial"/>
          <w:sz w:val="24"/>
        </w:rPr>
        <w:t>ARTESANÍA</w:t>
      </w:r>
      <w:r>
        <w:rPr>
          <w:rFonts w:ascii="Arial" w:hAnsi="Arial"/>
          <w:spacing w:val="-14"/>
          <w:sz w:val="24"/>
        </w:rPr>
        <w:t> </w:t>
      </w:r>
      <w:r>
        <w:rPr>
          <w:rFonts w:ascii="Arial" w:hAnsi="Arial"/>
          <w:sz w:val="24"/>
        </w:rPr>
        <w:t>MANCHA</w:t>
      </w:r>
      <w:r>
        <w:rPr>
          <w:rFonts w:ascii="Arial" w:hAnsi="Arial"/>
          <w:spacing w:val="-14"/>
          <w:sz w:val="24"/>
        </w:rPr>
        <w:t> </w:t>
      </w:r>
      <w:r>
        <w:rPr>
          <w:rFonts w:ascii="Arial" w:hAnsi="Arial"/>
          <w:sz w:val="24"/>
        </w:rPr>
        <w:t>BLANCA</w:t>
      </w:r>
    </w:p>
    <w:p>
      <w:pPr>
        <w:pStyle w:val="ListParagraph"/>
        <w:numPr>
          <w:ilvl w:val="0"/>
          <w:numId w:val="9"/>
        </w:numPr>
        <w:tabs>
          <w:tab w:pos="1122" w:val="left" w:leader="none"/>
          <w:tab w:pos="2515" w:val="left" w:leader="none"/>
          <w:tab w:pos="4139" w:val="left" w:leader="none"/>
          <w:tab w:pos="5623" w:val="left" w:leader="none"/>
          <w:tab w:pos="7669" w:val="left" w:leader="none"/>
        </w:tabs>
        <w:spacing w:line="278" w:lineRule="auto" w:before="180" w:after="0"/>
        <w:ind w:left="1121" w:right="259" w:hanging="360"/>
        <w:jc w:val="left"/>
        <w:rPr>
          <w:rFonts w:ascii="Arial" w:hAnsi="Arial"/>
          <w:sz w:val="24"/>
        </w:rPr>
      </w:pPr>
      <w:r>
        <w:rPr>
          <w:rFonts w:ascii="Arial" w:hAnsi="Arial"/>
          <w:sz w:val="24"/>
        </w:rPr>
        <w:t>MUESTRA</w:t>
        <w:tab/>
        <w:t>EXPOSITIVA</w:t>
        <w:tab/>
        <w:t>TRABAJOS</w:t>
        <w:tab/>
        <w:t>ARTESANALES,</w:t>
        <w:tab/>
      </w:r>
      <w:r>
        <w:rPr>
          <w:rFonts w:ascii="Arial" w:hAnsi="Arial"/>
          <w:spacing w:val="-5"/>
          <w:sz w:val="24"/>
        </w:rPr>
        <w:t>EMPLEITA, </w:t>
      </w:r>
      <w:r>
        <w:rPr>
          <w:rFonts w:ascii="Arial" w:hAnsi="Arial"/>
          <w:sz w:val="24"/>
        </w:rPr>
        <w:t>BORDADO Y</w:t>
      </w:r>
      <w:r>
        <w:rPr>
          <w:rFonts w:ascii="Arial" w:hAnsi="Arial"/>
          <w:spacing w:val="-14"/>
          <w:sz w:val="24"/>
        </w:rPr>
        <w:t> </w:t>
      </w:r>
      <w:r>
        <w:rPr>
          <w:rFonts w:ascii="Arial" w:hAnsi="Arial"/>
          <w:sz w:val="24"/>
        </w:rPr>
        <w:t>TEJEDURÍA</w:t>
      </w:r>
    </w:p>
    <w:p>
      <w:pPr>
        <w:pStyle w:val="ListParagraph"/>
        <w:numPr>
          <w:ilvl w:val="0"/>
          <w:numId w:val="9"/>
        </w:numPr>
        <w:tabs>
          <w:tab w:pos="1122" w:val="left" w:leader="none"/>
        </w:tabs>
        <w:spacing w:line="276" w:lineRule="auto" w:before="136" w:after="0"/>
        <w:ind w:left="1121" w:right="260" w:hanging="360"/>
        <w:jc w:val="left"/>
        <w:rPr>
          <w:rFonts w:ascii="Arial" w:hAnsi="Arial"/>
          <w:sz w:val="24"/>
        </w:rPr>
      </w:pPr>
      <w:r>
        <w:rPr>
          <w:rFonts w:ascii="Arial" w:hAnsi="Arial"/>
          <w:sz w:val="24"/>
        </w:rPr>
        <w:t>HALLOWEEN Y DÍA FINAOS, CELEBRACIÓN DÍA DIFUNTOS EN CEMENTERIO</w:t>
      </w: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58"/>
        <w:ind w:left="402"/>
        <w:rPr>
          <w:rFonts w:ascii="Arial" w:hAnsi="Arial"/>
        </w:rPr>
      </w:pPr>
      <w:r>
        <w:rPr>
          <w:rFonts w:ascii="Arial" w:hAnsi="Arial"/>
        </w:rPr>
        <w:t>El municipio de Tías tiene aproximadamente:</w:t>
      </w:r>
    </w:p>
    <w:p>
      <w:pPr>
        <w:pStyle w:val="BodyText"/>
        <w:spacing w:line="396" w:lineRule="auto" w:before="182"/>
        <w:ind w:left="402" w:right="1797"/>
        <w:rPr>
          <w:rFonts w:ascii="Arial" w:hAnsi="Arial"/>
        </w:rPr>
      </w:pPr>
      <w:r>
        <w:rPr>
          <w:rFonts w:ascii="Arial" w:hAnsi="Arial"/>
        </w:rPr>
        <w:t>22.000 habitantes con fuerte peso turístico (Puerto del Carmen). El público real no es solo residente, sino también visitante/turista.</w:t>
      </w:r>
    </w:p>
    <w:p>
      <w:pPr>
        <w:pStyle w:val="BodyText"/>
        <w:spacing w:before="4"/>
        <w:ind w:left="402"/>
        <w:rPr>
          <w:rFonts w:ascii="Arial" w:hAnsi="Arial"/>
        </w:rPr>
      </w:pPr>
      <w:r>
        <w:rPr>
          <w:rFonts w:ascii="Arial" w:hAnsi="Arial"/>
        </w:rPr>
        <w:t>Volumen de actividad cultural en 2025 con programación constante municipal:</w:t>
      </w:r>
    </w:p>
    <w:p>
      <w:pPr>
        <w:pStyle w:val="BodyText"/>
        <w:rPr>
          <w:rFonts w:ascii="Arial"/>
          <w:sz w:val="26"/>
        </w:rPr>
      </w:pPr>
    </w:p>
    <w:p>
      <w:pPr>
        <w:pStyle w:val="BodyText"/>
        <w:spacing w:before="6"/>
        <w:rPr>
          <w:rFonts w:ascii="Arial"/>
          <w:sz w:val="29"/>
        </w:rPr>
      </w:pPr>
    </w:p>
    <w:p>
      <w:pPr>
        <w:pStyle w:val="ListParagraph"/>
        <w:numPr>
          <w:ilvl w:val="0"/>
          <w:numId w:val="8"/>
        </w:numPr>
        <w:tabs>
          <w:tab w:pos="559" w:val="left" w:leader="none"/>
        </w:tabs>
        <w:spacing w:line="240" w:lineRule="auto" w:before="0" w:after="0"/>
        <w:ind w:left="558" w:right="0" w:hanging="157"/>
        <w:jc w:val="left"/>
        <w:rPr>
          <w:rFonts w:ascii="Arial" w:hAnsi="Arial"/>
          <w:sz w:val="24"/>
        </w:rPr>
      </w:pPr>
      <w:r>
        <w:rPr>
          <w:rFonts w:ascii="Arial" w:hAnsi="Arial"/>
          <w:spacing w:val="-4"/>
          <w:sz w:val="24"/>
        </w:rPr>
        <w:t>Talleres, </w:t>
      </w:r>
      <w:r>
        <w:rPr>
          <w:rFonts w:ascii="Arial" w:hAnsi="Arial"/>
          <w:sz w:val="24"/>
        </w:rPr>
        <w:t>actividades infantiles y juveniles</w:t>
      </w:r>
      <w:r>
        <w:rPr>
          <w:rFonts w:ascii="Arial" w:hAnsi="Arial"/>
          <w:spacing w:val="3"/>
          <w:sz w:val="24"/>
        </w:rPr>
        <w:t> </w:t>
      </w:r>
      <w:r>
        <w:rPr>
          <w:rFonts w:ascii="Arial" w:hAnsi="Arial"/>
          <w:sz w:val="24"/>
        </w:rPr>
        <w:t>continuas</w:t>
      </w:r>
    </w:p>
    <w:p>
      <w:pPr>
        <w:pStyle w:val="ListParagraph"/>
        <w:numPr>
          <w:ilvl w:val="0"/>
          <w:numId w:val="8"/>
        </w:numPr>
        <w:tabs>
          <w:tab w:pos="549" w:val="left" w:leader="none"/>
        </w:tabs>
        <w:spacing w:line="240" w:lineRule="auto" w:before="183" w:after="0"/>
        <w:ind w:left="548" w:right="0" w:hanging="147"/>
        <w:jc w:val="left"/>
        <w:rPr>
          <w:rFonts w:ascii="Arial" w:hAnsi="Arial"/>
          <w:sz w:val="24"/>
        </w:rPr>
      </w:pPr>
      <w:r>
        <w:rPr>
          <w:rFonts w:ascii="Arial" w:hAnsi="Arial"/>
          <w:sz w:val="24"/>
        </w:rPr>
        <w:t>Agenda mensual</w:t>
      </w:r>
      <w:r>
        <w:rPr>
          <w:rFonts w:ascii="Arial" w:hAnsi="Arial"/>
          <w:spacing w:val="-2"/>
          <w:sz w:val="24"/>
        </w:rPr>
        <w:t> </w:t>
      </w:r>
      <w:r>
        <w:rPr>
          <w:rFonts w:ascii="Arial" w:hAnsi="Arial"/>
          <w:sz w:val="24"/>
        </w:rPr>
        <w:t>con:</w:t>
      </w:r>
    </w:p>
    <w:p>
      <w:pPr>
        <w:pStyle w:val="BodyText"/>
        <w:spacing w:before="180"/>
        <w:ind w:left="402"/>
        <w:rPr>
          <w:rFonts w:ascii="Arial"/>
        </w:rPr>
      </w:pPr>
      <w:r>
        <w:rPr>
          <w:rFonts w:ascii="Arial"/>
        </w:rPr>
        <w:t>Conciertos, actividades familiares y eventos tradicionales</w:t>
      </w:r>
    </w:p>
    <w:p>
      <w:pPr>
        <w:spacing w:after="0"/>
        <w:rPr>
          <w:rFonts w:ascii="Arial"/>
        </w:rPr>
        <w:sectPr>
          <w:pgSz w:w="11910" w:h="16840"/>
          <w:pgMar w:header="1217" w:footer="0" w:top="2740" w:bottom="280" w:left="1300" w:right="1440"/>
        </w:sectPr>
      </w:pPr>
    </w:p>
    <w:p>
      <w:pPr>
        <w:pStyle w:val="BodyText"/>
        <w:rPr>
          <w:rFonts w:ascii="Arial"/>
          <w:sz w:val="20"/>
        </w:rPr>
      </w:pPr>
    </w:p>
    <w:p>
      <w:pPr>
        <w:pStyle w:val="BodyText"/>
        <w:spacing w:before="2"/>
        <w:rPr>
          <w:rFonts w:ascii="Arial"/>
          <w:sz w:val="19"/>
        </w:rPr>
      </w:pPr>
    </w:p>
    <w:p>
      <w:pPr>
        <w:pStyle w:val="BodyText"/>
        <w:spacing w:line="396" w:lineRule="auto" w:before="92"/>
        <w:ind w:left="469" w:right="5587" w:hanging="68"/>
        <w:rPr>
          <w:rFonts w:ascii="Arial" w:hAnsi="Arial"/>
        </w:rPr>
      </w:pPr>
      <w:r>
        <w:rPr>
          <w:rFonts w:ascii="Arial" w:hAnsi="Arial"/>
        </w:rPr>
        <w:t>Eventos estructurales del año Festival de Teatro de Bolsillo</w:t>
      </w:r>
    </w:p>
    <w:p>
      <w:pPr>
        <w:pStyle w:val="BodyText"/>
        <w:spacing w:before="4"/>
        <w:ind w:left="402"/>
        <w:rPr>
          <w:rFonts w:ascii="Arial" w:hAnsi="Arial"/>
        </w:rPr>
      </w:pPr>
      <w:r>
        <w:rPr>
          <w:rFonts w:ascii="Arial" w:hAnsi="Arial"/>
        </w:rPr>
        <w:t>Festival TitiriTías (varios días, público familiar)</w:t>
      </w:r>
    </w:p>
    <w:p>
      <w:pPr>
        <w:pStyle w:val="BodyText"/>
        <w:spacing w:line="276" w:lineRule="auto" w:before="182"/>
        <w:ind w:left="402"/>
        <w:rPr>
          <w:rFonts w:ascii="Arial" w:hAnsi="Arial"/>
        </w:rPr>
      </w:pPr>
      <w:r>
        <w:rPr>
          <w:rFonts w:ascii="Arial" w:hAnsi="Arial"/>
        </w:rPr>
        <w:t>Festival del Descorche, folclore y Festival Guágaro y Gaida, también folclore (evento destacado)</w:t>
      </w:r>
    </w:p>
    <w:p>
      <w:pPr>
        <w:pStyle w:val="BodyText"/>
        <w:rPr>
          <w:rFonts w:ascii="Arial"/>
          <w:sz w:val="26"/>
        </w:rPr>
      </w:pPr>
    </w:p>
    <w:p>
      <w:pPr>
        <w:pStyle w:val="BodyText"/>
        <w:spacing w:before="11"/>
        <w:rPr>
          <w:rFonts w:ascii="Arial"/>
          <w:sz w:val="25"/>
        </w:rPr>
      </w:pPr>
    </w:p>
    <w:p>
      <w:pPr>
        <w:pStyle w:val="BodyText"/>
        <w:spacing w:line="276" w:lineRule="auto"/>
        <w:ind w:left="402" w:right="263"/>
        <w:rPr>
          <w:rFonts w:ascii="Arial" w:hAnsi="Arial"/>
        </w:rPr>
      </w:pPr>
      <w:r>
        <w:rPr>
          <w:rFonts w:ascii="Arial" w:hAnsi="Arial"/>
        </w:rPr>
        <w:t>Tías en 2025 tiene una programación continua + eventos de alta concentración de público</w:t>
      </w:r>
    </w:p>
    <w:p>
      <w:pPr>
        <w:pStyle w:val="BodyText"/>
        <w:spacing w:before="140"/>
        <w:ind w:left="402"/>
        <w:rPr>
          <w:rFonts w:ascii="Arial" w:hAnsi="Arial"/>
        </w:rPr>
      </w:pPr>
      <w:r>
        <w:rPr>
          <w:rFonts w:ascii="Arial" w:hAnsi="Arial"/>
        </w:rPr>
        <w:t>Estimación de asistentes en eventos grandes (anuales)</w:t>
      </w:r>
    </w:p>
    <w:p>
      <w:pPr>
        <w:pStyle w:val="BodyText"/>
        <w:spacing w:line="398" w:lineRule="auto" w:before="180"/>
        <w:ind w:left="402" w:right="956"/>
        <w:rPr>
          <w:rFonts w:ascii="Arial" w:hAnsi="Arial"/>
        </w:rPr>
      </w:pPr>
      <w:r>
        <w:rPr>
          <w:rFonts w:ascii="Arial" w:hAnsi="Arial"/>
        </w:rPr>
        <w:t>Encuentros + conciertos + fiestas: 8.000 – 15.000 asistentes acumulados Festivales (TitiriTías, Teatro, Descorche…): 3.000 – 6.000</w:t>
      </w:r>
    </w:p>
    <w:p>
      <w:pPr>
        <w:pStyle w:val="BodyText"/>
        <w:rPr>
          <w:rFonts w:ascii="Arial"/>
          <w:sz w:val="26"/>
        </w:rPr>
      </w:pPr>
    </w:p>
    <w:p>
      <w:pPr>
        <w:pStyle w:val="BodyText"/>
        <w:spacing w:before="158"/>
        <w:ind w:left="402"/>
        <w:rPr>
          <w:rFonts w:ascii="Arial" w:hAnsi="Arial"/>
        </w:rPr>
      </w:pPr>
      <w:r>
        <w:rPr>
          <w:rFonts w:ascii="Arial" w:hAnsi="Arial"/>
        </w:rPr>
        <w:t>Programación media (todo el año)</w:t>
      </w:r>
    </w:p>
    <w:p>
      <w:pPr>
        <w:pStyle w:val="BodyText"/>
        <w:spacing w:line="396" w:lineRule="auto" w:before="182"/>
        <w:ind w:left="402" w:right="2971"/>
        <w:rPr>
          <w:rFonts w:ascii="Arial" w:hAnsi="Arial"/>
        </w:rPr>
      </w:pPr>
      <w:r>
        <w:rPr>
          <w:rFonts w:ascii="Arial" w:hAnsi="Arial"/>
        </w:rPr>
        <w:t>Talleres, biblioteca, teatro, actividades familiares… 2–4 actividades/semana.</w:t>
      </w:r>
    </w:p>
    <w:p>
      <w:pPr>
        <w:pStyle w:val="BodyText"/>
        <w:spacing w:before="4"/>
        <w:ind w:left="402"/>
        <w:rPr>
          <w:rFonts w:ascii="Arial"/>
        </w:rPr>
      </w:pPr>
      <w:r>
        <w:rPr>
          <w:rFonts w:ascii="Arial"/>
        </w:rPr>
        <w:t>80 personas por actividad</w:t>
      </w:r>
    </w:p>
    <w:p>
      <w:pPr>
        <w:pStyle w:val="BodyText"/>
        <w:spacing w:before="180"/>
        <w:ind w:left="402"/>
        <w:rPr>
          <w:rFonts w:ascii="Arial" w:hAnsi="Arial"/>
        </w:rPr>
      </w:pPr>
      <w:r>
        <w:rPr>
          <w:rFonts w:ascii="Arial" w:hAnsi="Arial"/>
        </w:rPr>
        <w:t>Eventos abiertos, dinamización cultural y juvenil</w:t>
      </w: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200"/>
        <w:ind w:left="402"/>
        <w:rPr>
          <w:rFonts w:ascii="Arial"/>
        </w:rPr>
      </w:pPr>
      <w:r>
        <w:rPr>
          <w:rFonts w:ascii="Arial"/>
        </w:rPr>
        <w:t>RESULTADO TOTAL (asistencia 2025)</w:t>
      </w:r>
    </w:p>
    <w:p>
      <w:pPr>
        <w:pStyle w:val="BodyText"/>
        <w:spacing w:before="183"/>
        <w:ind w:left="402"/>
        <w:rPr>
          <w:rFonts w:ascii="Arial" w:hAnsi="Arial"/>
        </w:rPr>
      </w:pPr>
      <w:r>
        <w:rPr>
          <w:rFonts w:ascii="Arial" w:hAnsi="Arial"/>
        </w:rPr>
        <w:t>Hemos llegado aproximadamente al 70% de la población residente y flotante.</w:t>
      </w:r>
    </w:p>
    <w:p>
      <w:pPr>
        <w:pStyle w:val="BodyText"/>
        <w:spacing w:line="276" w:lineRule="auto" w:before="180"/>
        <w:ind w:left="402" w:right="264"/>
        <w:jc w:val="both"/>
        <w:rPr>
          <w:rFonts w:ascii="Arial" w:hAnsi="Arial"/>
        </w:rPr>
      </w:pPr>
      <w:r>
        <w:rPr>
          <w:rFonts w:ascii="Arial" w:hAnsi="Arial"/>
        </w:rPr>
        <w:t>Durante 2025, la programación cultural del municipio de Tías alcanzó una asistencia acumulada estimada de entre 20.000 y 35.000 participaciones en actividades culturales, lo que supone un impacto directo sobre una parte significativa de la población residente y visitante.</w:t>
      </w:r>
    </w:p>
    <w:p>
      <w:pPr>
        <w:spacing w:after="0" w:line="276" w:lineRule="auto"/>
        <w:jc w:val="both"/>
        <w:rPr>
          <w:rFonts w:ascii="Arial" w:hAnsi="Arial"/>
        </w:rPr>
        <w:sectPr>
          <w:pgSz w:w="11910" w:h="16840"/>
          <w:pgMar w:header="1217" w:footer="0" w:top="2740" w:bottom="280" w:left="1300" w:right="14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rPr>
      </w:pPr>
    </w:p>
    <w:p>
      <w:pPr>
        <w:spacing w:before="56"/>
        <w:ind w:left="402" w:right="0" w:firstLine="0"/>
        <w:jc w:val="left"/>
        <w:rPr>
          <w:rFonts w:ascii="Calibri" w:hAnsi="Calibri"/>
          <w:b/>
          <w:sz w:val="22"/>
        </w:rPr>
      </w:pPr>
      <w:r>
        <w:rPr>
          <w:rFonts w:ascii="Calibri" w:hAnsi="Calibri"/>
          <w:b/>
          <w:sz w:val="22"/>
          <w:u w:val="single"/>
        </w:rPr>
        <w:t>TRANSPORTE, TRÁFICO Y MOVILIDAD URBANA:</w:t>
      </w:r>
    </w:p>
    <w:p>
      <w:pPr>
        <w:pStyle w:val="BodyText"/>
        <w:spacing w:before="4"/>
        <w:rPr>
          <w:rFonts w:ascii="Calibri"/>
          <w:b/>
          <w:sz w:val="10"/>
        </w:rPr>
      </w:pPr>
    </w:p>
    <w:p>
      <w:pPr>
        <w:spacing w:before="56"/>
        <w:ind w:left="402" w:right="0" w:firstLine="0"/>
        <w:jc w:val="left"/>
        <w:rPr>
          <w:rFonts w:ascii="Calibri" w:hAnsi="Calibri"/>
          <w:sz w:val="22"/>
        </w:rPr>
      </w:pPr>
      <w:r>
        <w:rPr>
          <w:rFonts w:ascii="Calibri" w:hAnsi="Calibri"/>
          <w:sz w:val="22"/>
        </w:rPr>
        <w:t>-Creación de 8 nuevas licencias municipales de auto taxis. (2 normales y 6 PMRs.)</w:t>
      </w:r>
    </w:p>
    <w:p>
      <w:pPr>
        <w:spacing w:line="259" w:lineRule="auto" w:before="181"/>
        <w:ind w:left="402" w:right="339" w:firstLine="0"/>
        <w:jc w:val="left"/>
        <w:rPr>
          <w:rFonts w:ascii="Calibri" w:hAnsi="Calibri"/>
          <w:sz w:val="22"/>
        </w:rPr>
      </w:pPr>
      <w:r>
        <w:rPr>
          <w:rFonts w:ascii="Calibri" w:hAnsi="Calibri"/>
          <w:sz w:val="22"/>
        </w:rPr>
        <w:t>-Realización de exámenes para la obtención del permiso municipal para la conducción de auto taxis.</w:t>
      </w:r>
    </w:p>
    <w:p>
      <w:pPr>
        <w:spacing w:before="159"/>
        <w:ind w:left="402" w:right="0" w:firstLine="0"/>
        <w:jc w:val="left"/>
        <w:rPr>
          <w:rFonts w:ascii="Calibri" w:hAnsi="Calibri"/>
          <w:sz w:val="22"/>
        </w:rPr>
      </w:pPr>
      <w:r>
        <w:rPr>
          <w:rFonts w:ascii="Calibri" w:hAnsi="Calibri"/>
          <w:sz w:val="22"/>
        </w:rPr>
        <w:t>-Asfaltado y señalización de diferentes calles del municipio.</w:t>
      </w:r>
    </w:p>
    <w:p>
      <w:pPr>
        <w:spacing w:line="259" w:lineRule="auto" w:before="183"/>
        <w:ind w:left="402" w:right="707" w:firstLine="0"/>
        <w:jc w:val="left"/>
        <w:rPr>
          <w:rFonts w:ascii="Calibri"/>
          <w:sz w:val="22"/>
        </w:rPr>
      </w:pPr>
      <w:r>
        <w:rPr>
          <w:rFonts w:ascii="Calibri"/>
          <w:sz w:val="22"/>
        </w:rPr>
        <w:t>-Red peatonal y ciclista en las Ramblas Islas Canarias, desde la C/ Noruega hasta la C/ Juan Carlos 1.</w:t>
      </w:r>
    </w:p>
    <w:p>
      <w:pPr>
        <w:spacing w:before="159"/>
        <w:ind w:left="402" w:right="0" w:firstLine="0"/>
        <w:jc w:val="left"/>
        <w:rPr>
          <w:rFonts w:ascii="Calibri" w:hAnsi="Calibri"/>
          <w:sz w:val="22"/>
        </w:rPr>
      </w:pPr>
      <w:r>
        <w:rPr>
          <w:rFonts w:ascii="Calibri" w:hAnsi="Calibri"/>
          <w:sz w:val="22"/>
        </w:rPr>
        <w:t>-Creación de ciclo carriles en diferentes calles de Tías y en el Camino Hoya Limpia.</w:t>
      </w:r>
    </w:p>
    <w:p>
      <w:pPr>
        <w:spacing w:line="259" w:lineRule="auto" w:before="180"/>
        <w:ind w:left="402" w:right="691" w:firstLine="0"/>
        <w:jc w:val="left"/>
        <w:rPr>
          <w:rFonts w:ascii="Calibri"/>
          <w:sz w:val="22"/>
        </w:rPr>
      </w:pPr>
      <w:r>
        <w:rPr>
          <w:rFonts w:ascii="Calibri"/>
          <w:sz w:val="22"/>
        </w:rPr>
        <w:t>-Proyecto de acondicionamiento del carril bici situado en la avenida de Las Playas, entre el hotel Las Costas, Plaza de Las Naciones y Hotel jameos.</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spacing w:before="168"/>
        <w:ind w:left="402" w:right="0" w:firstLine="0"/>
        <w:jc w:val="left"/>
        <w:rPr>
          <w:rFonts w:ascii="Calibri" w:hAnsi="Calibri"/>
          <w:b/>
          <w:sz w:val="22"/>
        </w:rPr>
      </w:pPr>
      <w:r>
        <w:rPr>
          <w:rFonts w:ascii="Calibri" w:hAnsi="Calibri"/>
          <w:b/>
          <w:sz w:val="22"/>
          <w:u w:val="single"/>
        </w:rPr>
        <w:t>ALUMBRADO PÚBLICO.:</w:t>
      </w:r>
    </w:p>
    <w:p>
      <w:pPr>
        <w:pStyle w:val="BodyText"/>
        <w:rPr>
          <w:rFonts w:ascii="Calibri"/>
          <w:b/>
          <w:sz w:val="20"/>
        </w:rPr>
      </w:pPr>
    </w:p>
    <w:p>
      <w:pPr>
        <w:pStyle w:val="BodyText"/>
        <w:spacing w:before="2"/>
        <w:rPr>
          <w:rFonts w:ascii="Calibri"/>
          <w:b/>
          <w:sz w:val="27"/>
        </w:rPr>
      </w:pPr>
    </w:p>
    <w:p>
      <w:pPr>
        <w:spacing w:before="56"/>
        <w:ind w:left="402" w:right="0" w:firstLine="0"/>
        <w:jc w:val="left"/>
        <w:rPr>
          <w:rFonts w:ascii="Calibri"/>
          <w:sz w:val="22"/>
        </w:rPr>
      </w:pPr>
      <w:r>
        <w:rPr>
          <w:rFonts w:ascii="Calibri"/>
          <w:sz w:val="22"/>
        </w:rPr>
        <w:t>-Obras de alumbrado en el pueblo de Masdache.</w:t>
      </w:r>
    </w:p>
    <w:p>
      <w:pPr>
        <w:spacing w:before="180"/>
        <w:ind w:left="402" w:right="0" w:firstLine="0"/>
        <w:jc w:val="left"/>
        <w:rPr>
          <w:rFonts w:ascii="Calibri"/>
          <w:sz w:val="22"/>
        </w:rPr>
      </w:pPr>
      <w:r>
        <w:rPr>
          <w:rFonts w:ascii="Calibri"/>
          <w:sz w:val="22"/>
        </w:rPr>
        <w:t>-Cambio de luminarias en la avenida de Las Playas, zona de la Plaza de Las Naciones.</w:t>
      </w:r>
    </w:p>
    <w:p>
      <w:pPr>
        <w:spacing w:before="183"/>
        <w:ind w:left="402" w:right="0" w:firstLine="0"/>
        <w:jc w:val="left"/>
        <w:rPr>
          <w:rFonts w:ascii="Calibri"/>
          <w:sz w:val="22"/>
        </w:rPr>
      </w:pPr>
      <w:r>
        <w:rPr>
          <w:rFonts w:ascii="Calibri"/>
          <w:sz w:val="22"/>
        </w:rPr>
        <w:t>-Cambio de luminarias y acondicionamiento de diferentes calles del municipio.</w:t>
      </w:r>
    </w:p>
    <w:p>
      <w:pPr>
        <w:spacing w:line="259" w:lineRule="auto" w:before="180"/>
        <w:ind w:left="402" w:right="456" w:firstLine="0"/>
        <w:jc w:val="left"/>
        <w:rPr>
          <w:rFonts w:ascii="Calibri" w:hAnsi="Calibri"/>
          <w:sz w:val="22"/>
        </w:rPr>
      </w:pPr>
      <w:r>
        <w:rPr>
          <w:rFonts w:ascii="Calibri" w:hAnsi="Calibri"/>
          <w:sz w:val="22"/>
        </w:rPr>
        <w:t>-Adjudicación de obras de iluminación de la zona de Candelaria y diferentes calles del pueblo de Tías.</w:t>
      </w:r>
    </w:p>
    <w:p>
      <w:pPr>
        <w:spacing w:after="0" w:line="259" w:lineRule="auto"/>
        <w:jc w:val="left"/>
        <w:rPr>
          <w:rFonts w:ascii="Calibri" w:hAnsi="Calibri"/>
          <w:sz w:val="22"/>
        </w:rPr>
        <w:sectPr>
          <w:pgSz w:w="11910" w:h="16840"/>
          <w:pgMar w:header="1217" w:footer="0" w:top="2740" w:bottom="280" w:left="1300" w:right="1440"/>
        </w:sectPr>
      </w:pPr>
    </w:p>
    <w:p>
      <w:pPr>
        <w:pStyle w:val="BodyText"/>
        <w:rPr>
          <w:rFonts w:ascii="Calibri"/>
          <w:sz w:val="20"/>
        </w:rPr>
      </w:pPr>
    </w:p>
    <w:p>
      <w:pPr>
        <w:pStyle w:val="BodyText"/>
        <w:spacing w:before="4"/>
        <w:rPr>
          <w:rFonts w:ascii="Calibri"/>
          <w:sz w:val="17"/>
        </w:rPr>
      </w:pPr>
    </w:p>
    <w:p>
      <w:pPr>
        <w:pStyle w:val="Heading3"/>
        <w:rPr>
          <w:u w:val="none"/>
        </w:rPr>
      </w:pPr>
      <w:r>
        <w:rPr>
          <w:b w:val="0"/>
          <w:spacing w:val="-65"/>
          <w:w w:val="99"/>
          <w:u w:val="none"/>
        </w:rPr>
        <w:t> </w:t>
      </w:r>
      <w:r>
        <w:rPr>
          <w:u w:val="thick"/>
        </w:rPr>
        <w:t>DEPORTES</w:t>
      </w:r>
    </w:p>
    <w:p>
      <w:pPr>
        <w:pStyle w:val="BodyText"/>
        <w:spacing w:before="180"/>
        <w:ind w:left="402"/>
        <w:rPr>
          <w:rFonts w:ascii="Liberation Serif"/>
        </w:rPr>
      </w:pPr>
      <w:r>
        <w:rPr>
          <w:rFonts w:ascii="Liberation Serif"/>
        </w:rPr>
        <w:t>SUBVENCIONES DEPORTIVAS 2025</w:t>
      </w:r>
    </w:p>
    <w:p>
      <w:pPr>
        <w:pStyle w:val="BodyText"/>
        <w:rPr>
          <w:rFonts w:ascii="Liberation Serif"/>
          <w:sz w:val="20"/>
        </w:rPr>
      </w:pPr>
    </w:p>
    <w:p>
      <w:pPr>
        <w:pStyle w:val="BodyText"/>
        <w:rPr>
          <w:rFonts w:ascii="Liberation Serif"/>
          <w:sz w:val="20"/>
        </w:rPr>
      </w:pPr>
    </w:p>
    <w:p>
      <w:pPr>
        <w:pStyle w:val="BodyText"/>
        <w:spacing w:before="10"/>
        <w:rPr>
          <w:rFonts w:ascii="Liberation Serif"/>
          <w:sz w:val="12"/>
        </w:rPr>
      </w:pPr>
      <w:r>
        <w:rPr/>
        <w:drawing>
          <wp:anchor distT="0" distB="0" distL="0" distR="0" allowOverlap="1" layoutInCell="1" locked="0" behindDoc="0" simplePos="0" relativeHeight="15">
            <wp:simplePos x="0" y="0"/>
            <wp:positionH relativeFrom="page">
              <wp:posOffset>1168370</wp:posOffset>
            </wp:positionH>
            <wp:positionV relativeFrom="paragraph">
              <wp:posOffset>119241</wp:posOffset>
            </wp:positionV>
            <wp:extent cx="5257503" cy="4250055"/>
            <wp:effectExtent l="0" t="0" r="0" b="0"/>
            <wp:wrapTopAndBottom/>
            <wp:docPr id="59" name="image30.png"/>
            <wp:cNvGraphicFramePr>
              <a:graphicFrameLocks noChangeAspect="1"/>
            </wp:cNvGraphicFramePr>
            <a:graphic>
              <a:graphicData uri="http://schemas.openxmlformats.org/drawingml/2006/picture">
                <pic:pic>
                  <pic:nvPicPr>
                    <pic:cNvPr id="60" name="image30.png"/>
                    <pic:cNvPicPr/>
                  </pic:nvPicPr>
                  <pic:blipFill>
                    <a:blip r:embed="rId36" cstate="print"/>
                    <a:stretch>
                      <a:fillRect/>
                    </a:stretch>
                  </pic:blipFill>
                  <pic:spPr>
                    <a:xfrm>
                      <a:off x="0" y="0"/>
                      <a:ext cx="5257503" cy="4250055"/>
                    </a:xfrm>
                    <a:prstGeom prst="rect">
                      <a:avLst/>
                    </a:prstGeom>
                  </pic:spPr>
                </pic:pic>
              </a:graphicData>
            </a:graphic>
          </wp:anchor>
        </w:drawing>
      </w:r>
    </w:p>
    <w:p>
      <w:pPr>
        <w:spacing w:after="0"/>
        <w:rPr>
          <w:rFonts w:ascii="Liberation Serif"/>
          <w:sz w:val="12"/>
        </w:rPr>
        <w:sectPr>
          <w:pgSz w:w="11910" w:h="16840"/>
          <w:pgMar w:header="1217" w:footer="0" w:top="2740" w:bottom="280" w:left="1300" w:right="1440"/>
        </w:sectPr>
      </w:pPr>
    </w:p>
    <w:p>
      <w:pPr>
        <w:pStyle w:val="BodyText"/>
        <w:rPr>
          <w:rFonts w:ascii="Liberation Serif"/>
          <w:sz w:val="20"/>
        </w:rPr>
      </w:pPr>
    </w:p>
    <w:p>
      <w:pPr>
        <w:pStyle w:val="BodyText"/>
        <w:spacing w:before="1"/>
        <w:rPr>
          <w:rFonts w:ascii="Liberation Serif"/>
          <w:sz w:val="29"/>
        </w:rPr>
      </w:pPr>
    </w:p>
    <w:p>
      <w:pPr>
        <w:pStyle w:val="BodyText"/>
        <w:ind w:left="446"/>
        <w:rPr>
          <w:rFonts w:ascii="Liberation Serif"/>
          <w:sz w:val="20"/>
        </w:rPr>
      </w:pPr>
      <w:r>
        <w:rPr>
          <w:rFonts w:ascii="Liberation Serif"/>
          <w:sz w:val="20"/>
        </w:rPr>
        <w:drawing>
          <wp:inline distT="0" distB="0" distL="0" distR="0">
            <wp:extent cx="5328044" cy="3344417"/>
            <wp:effectExtent l="0" t="0" r="0" b="0"/>
            <wp:docPr id="61" name="image31.jpeg"/>
            <wp:cNvGraphicFramePr>
              <a:graphicFrameLocks noChangeAspect="1"/>
            </wp:cNvGraphicFramePr>
            <a:graphic>
              <a:graphicData uri="http://schemas.openxmlformats.org/drawingml/2006/picture">
                <pic:pic>
                  <pic:nvPicPr>
                    <pic:cNvPr id="62" name="image31.jpeg"/>
                    <pic:cNvPicPr/>
                  </pic:nvPicPr>
                  <pic:blipFill>
                    <a:blip r:embed="rId37" cstate="print"/>
                    <a:stretch>
                      <a:fillRect/>
                    </a:stretch>
                  </pic:blipFill>
                  <pic:spPr>
                    <a:xfrm>
                      <a:off x="0" y="0"/>
                      <a:ext cx="5328044" cy="3344417"/>
                    </a:xfrm>
                    <a:prstGeom prst="rect">
                      <a:avLst/>
                    </a:prstGeom>
                  </pic:spPr>
                </pic:pic>
              </a:graphicData>
            </a:graphic>
          </wp:inline>
        </w:drawing>
      </w:r>
      <w:r>
        <w:rPr>
          <w:rFonts w:ascii="Liberation Serif"/>
          <w:sz w:val="20"/>
        </w:rPr>
      </w:r>
    </w:p>
    <w:p>
      <w:pPr>
        <w:pStyle w:val="BodyText"/>
        <w:rPr>
          <w:rFonts w:ascii="Liberation Serif"/>
          <w:sz w:val="20"/>
        </w:rPr>
      </w:pPr>
    </w:p>
    <w:p>
      <w:pPr>
        <w:pStyle w:val="BodyText"/>
        <w:rPr>
          <w:rFonts w:ascii="Liberation Serif"/>
          <w:sz w:val="20"/>
        </w:rPr>
      </w:pPr>
    </w:p>
    <w:p>
      <w:pPr>
        <w:pStyle w:val="BodyText"/>
        <w:rPr>
          <w:rFonts w:ascii="Liberation Serif"/>
          <w:sz w:val="20"/>
        </w:rPr>
      </w:pPr>
    </w:p>
    <w:p>
      <w:pPr>
        <w:pStyle w:val="BodyText"/>
        <w:spacing w:before="4"/>
        <w:rPr>
          <w:rFonts w:ascii="Liberation Serif"/>
          <w:sz w:val="13"/>
        </w:rPr>
      </w:pPr>
      <w:r>
        <w:rPr/>
        <w:drawing>
          <wp:anchor distT="0" distB="0" distL="0" distR="0" allowOverlap="1" layoutInCell="1" locked="0" behindDoc="0" simplePos="0" relativeHeight="16">
            <wp:simplePos x="0" y="0"/>
            <wp:positionH relativeFrom="page">
              <wp:posOffset>1907989</wp:posOffset>
            </wp:positionH>
            <wp:positionV relativeFrom="paragraph">
              <wp:posOffset>122551</wp:posOffset>
            </wp:positionV>
            <wp:extent cx="3838112" cy="1346930"/>
            <wp:effectExtent l="0" t="0" r="0" b="0"/>
            <wp:wrapTopAndBottom/>
            <wp:docPr id="63" name="image32.png"/>
            <wp:cNvGraphicFramePr>
              <a:graphicFrameLocks noChangeAspect="1"/>
            </wp:cNvGraphicFramePr>
            <a:graphic>
              <a:graphicData uri="http://schemas.openxmlformats.org/drawingml/2006/picture">
                <pic:pic>
                  <pic:nvPicPr>
                    <pic:cNvPr id="64" name="image32.png"/>
                    <pic:cNvPicPr/>
                  </pic:nvPicPr>
                  <pic:blipFill>
                    <a:blip r:embed="rId38" cstate="print"/>
                    <a:stretch>
                      <a:fillRect/>
                    </a:stretch>
                  </pic:blipFill>
                  <pic:spPr>
                    <a:xfrm>
                      <a:off x="0" y="0"/>
                      <a:ext cx="3838112" cy="1346930"/>
                    </a:xfrm>
                    <a:prstGeom prst="rect">
                      <a:avLst/>
                    </a:prstGeom>
                  </pic:spPr>
                </pic:pic>
              </a:graphicData>
            </a:graphic>
          </wp:anchor>
        </w:drawing>
      </w:r>
    </w:p>
    <w:p>
      <w:pPr>
        <w:spacing w:after="0"/>
        <w:rPr>
          <w:rFonts w:ascii="Liberation Serif"/>
          <w:sz w:val="13"/>
        </w:rPr>
        <w:sectPr>
          <w:pgSz w:w="11910" w:h="16840"/>
          <w:pgMar w:header="1217" w:footer="0" w:top="2740" w:bottom="280" w:left="1300" w:right="1440"/>
        </w:sectPr>
      </w:pPr>
    </w:p>
    <w:p>
      <w:pPr>
        <w:pStyle w:val="BodyText"/>
        <w:rPr>
          <w:rFonts w:ascii="Liberation Serif"/>
          <w:sz w:val="20"/>
        </w:rPr>
      </w:pPr>
    </w:p>
    <w:p>
      <w:pPr>
        <w:pStyle w:val="BodyText"/>
        <w:spacing w:before="1"/>
        <w:rPr>
          <w:rFonts w:ascii="Liberation Serif"/>
          <w:sz w:val="27"/>
        </w:rPr>
      </w:pPr>
    </w:p>
    <w:p>
      <w:pPr>
        <w:pStyle w:val="BodyText"/>
        <w:ind w:left="401"/>
        <w:rPr>
          <w:rFonts w:ascii="Liberation Serif"/>
          <w:sz w:val="20"/>
        </w:rPr>
      </w:pPr>
      <w:r>
        <w:rPr>
          <w:rFonts w:ascii="Liberation Serif"/>
          <w:sz w:val="20"/>
        </w:rPr>
        <w:drawing>
          <wp:inline distT="0" distB="0" distL="0" distR="0">
            <wp:extent cx="5333408" cy="6216205"/>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39" cstate="print"/>
                    <a:stretch>
                      <a:fillRect/>
                    </a:stretch>
                  </pic:blipFill>
                  <pic:spPr>
                    <a:xfrm>
                      <a:off x="0" y="0"/>
                      <a:ext cx="5333408" cy="6216205"/>
                    </a:xfrm>
                    <a:prstGeom prst="rect">
                      <a:avLst/>
                    </a:prstGeom>
                  </pic:spPr>
                </pic:pic>
              </a:graphicData>
            </a:graphic>
          </wp:inline>
        </w:drawing>
      </w:r>
      <w:r>
        <w:rPr>
          <w:rFonts w:ascii="Liberation Serif"/>
          <w:sz w:val="20"/>
        </w:rPr>
      </w:r>
    </w:p>
    <w:p>
      <w:pPr>
        <w:spacing w:after="0"/>
        <w:rPr>
          <w:rFonts w:ascii="Liberation Serif"/>
          <w:sz w:val="20"/>
        </w:rPr>
        <w:sectPr>
          <w:pgSz w:w="11910" w:h="16840"/>
          <w:pgMar w:header="1217" w:footer="0" w:top="2740" w:bottom="280" w:left="1300" w:right="1440"/>
        </w:sectPr>
      </w:pPr>
    </w:p>
    <w:p>
      <w:pPr>
        <w:pStyle w:val="BodyText"/>
        <w:rPr>
          <w:rFonts w:ascii="Liberation Serif"/>
          <w:sz w:val="20"/>
        </w:rPr>
      </w:pPr>
    </w:p>
    <w:p>
      <w:pPr>
        <w:pStyle w:val="BodyText"/>
        <w:rPr>
          <w:rFonts w:ascii="Liberation Serif"/>
          <w:sz w:val="20"/>
        </w:rPr>
      </w:pPr>
    </w:p>
    <w:p>
      <w:pPr>
        <w:pStyle w:val="BodyText"/>
        <w:spacing w:before="11"/>
        <w:rPr>
          <w:rFonts w:ascii="Liberation Serif"/>
          <w:sz w:val="10"/>
        </w:rPr>
      </w:pPr>
    </w:p>
    <w:p>
      <w:pPr>
        <w:pStyle w:val="BodyText"/>
        <w:ind w:left="412"/>
        <w:rPr>
          <w:rFonts w:ascii="Liberation Serif"/>
          <w:sz w:val="20"/>
        </w:rPr>
      </w:pPr>
      <w:r>
        <w:rPr>
          <w:rFonts w:ascii="Liberation Serif"/>
          <w:sz w:val="20"/>
        </w:rPr>
        <w:drawing>
          <wp:inline distT="0" distB="0" distL="0" distR="0">
            <wp:extent cx="5371430" cy="2685478"/>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40" cstate="print"/>
                    <a:stretch>
                      <a:fillRect/>
                    </a:stretch>
                  </pic:blipFill>
                  <pic:spPr>
                    <a:xfrm>
                      <a:off x="0" y="0"/>
                      <a:ext cx="5371430" cy="2685478"/>
                    </a:xfrm>
                    <a:prstGeom prst="rect">
                      <a:avLst/>
                    </a:prstGeom>
                  </pic:spPr>
                </pic:pic>
              </a:graphicData>
            </a:graphic>
          </wp:inline>
        </w:drawing>
      </w:r>
      <w:r>
        <w:rPr>
          <w:rFonts w:ascii="Liberation Serif"/>
          <w:sz w:val="20"/>
        </w:rPr>
      </w:r>
    </w:p>
    <w:p>
      <w:pPr>
        <w:pStyle w:val="BodyText"/>
        <w:rPr>
          <w:rFonts w:ascii="Liberation Serif"/>
          <w:sz w:val="20"/>
        </w:rPr>
      </w:pPr>
    </w:p>
    <w:p>
      <w:pPr>
        <w:pStyle w:val="BodyText"/>
        <w:rPr>
          <w:rFonts w:ascii="Liberation Serif"/>
          <w:sz w:val="20"/>
        </w:rPr>
      </w:pPr>
    </w:p>
    <w:p>
      <w:pPr>
        <w:pStyle w:val="BodyText"/>
        <w:spacing w:before="6"/>
        <w:rPr>
          <w:rFonts w:ascii="Liberation Serif"/>
          <w:sz w:val="19"/>
        </w:rPr>
      </w:pPr>
    </w:p>
    <w:p>
      <w:pPr>
        <w:pStyle w:val="BodyText"/>
        <w:ind w:left="402"/>
        <w:rPr>
          <w:rFonts w:ascii="Calibri"/>
        </w:rPr>
      </w:pPr>
      <w:r>
        <w:rPr>
          <w:rFonts w:ascii="Calibri"/>
        </w:rPr>
        <w:t>ACTIVIDADES DEPORTIVAS</w:t>
      </w:r>
    </w:p>
    <w:p>
      <w:pPr>
        <w:pStyle w:val="BodyText"/>
        <w:spacing w:before="10"/>
        <w:rPr>
          <w:rFonts w:ascii="Calibri"/>
          <w:sz w:val="11"/>
        </w:rPr>
      </w:pPr>
      <w:r>
        <w:rPr/>
        <w:drawing>
          <wp:anchor distT="0" distB="0" distL="0" distR="0" allowOverlap="1" layoutInCell="1" locked="0" behindDoc="0" simplePos="0" relativeHeight="17">
            <wp:simplePos x="0" y="0"/>
            <wp:positionH relativeFrom="page">
              <wp:posOffset>1080135</wp:posOffset>
            </wp:positionH>
            <wp:positionV relativeFrom="paragraph">
              <wp:posOffset>116994</wp:posOffset>
            </wp:positionV>
            <wp:extent cx="5351363" cy="2191702"/>
            <wp:effectExtent l="0" t="0" r="0" b="0"/>
            <wp:wrapTopAndBottom/>
            <wp:docPr id="69" name="image35.png"/>
            <wp:cNvGraphicFramePr>
              <a:graphicFrameLocks noChangeAspect="1"/>
            </wp:cNvGraphicFramePr>
            <a:graphic>
              <a:graphicData uri="http://schemas.openxmlformats.org/drawingml/2006/picture">
                <pic:pic>
                  <pic:nvPicPr>
                    <pic:cNvPr id="70" name="image35.png"/>
                    <pic:cNvPicPr/>
                  </pic:nvPicPr>
                  <pic:blipFill>
                    <a:blip r:embed="rId41" cstate="print"/>
                    <a:stretch>
                      <a:fillRect/>
                    </a:stretch>
                  </pic:blipFill>
                  <pic:spPr>
                    <a:xfrm>
                      <a:off x="0" y="0"/>
                      <a:ext cx="5351363" cy="2191702"/>
                    </a:xfrm>
                    <a:prstGeom prst="rect">
                      <a:avLst/>
                    </a:prstGeom>
                  </pic:spPr>
                </pic:pic>
              </a:graphicData>
            </a:graphic>
          </wp:anchor>
        </w:drawing>
      </w:r>
    </w:p>
    <w:p>
      <w:pPr>
        <w:spacing w:after="0"/>
        <w:rPr>
          <w:rFonts w:ascii="Calibri"/>
          <w:sz w:val="11"/>
        </w:rPr>
        <w:sectPr>
          <w:pgSz w:w="11910" w:h="16840"/>
          <w:pgMar w:header="1217" w:footer="0" w:top="2740" w:bottom="280" w:left="1300" w:right="1440"/>
        </w:sectPr>
      </w:pPr>
    </w:p>
    <w:p>
      <w:pPr>
        <w:pStyle w:val="BodyText"/>
        <w:rPr>
          <w:rFonts w:ascii="Calibri"/>
          <w:sz w:val="20"/>
        </w:rPr>
      </w:pPr>
    </w:p>
    <w:p>
      <w:pPr>
        <w:pStyle w:val="BodyText"/>
        <w:spacing w:before="3"/>
        <w:rPr>
          <w:rFonts w:ascii="Calibri"/>
          <w:sz w:val="27"/>
        </w:rPr>
      </w:pPr>
    </w:p>
    <w:p>
      <w:pPr>
        <w:pStyle w:val="BodyText"/>
        <w:ind w:left="401"/>
        <w:rPr>
          <w:rFonts w:ascii="Calibri"/>
          <w:sz w:val="20"/>
        </w:rPr>
      </w:pPr>
      <w:r>
        <w:rPr>
          <w:rFonts w:ascii="Calibri"/>
          <w:sz w:val="20"/>
        </w:rPr>
        <w:drawing>
          <wp:inline distT="0" distB="0" distL="0" distR="0">
            <wp:extent cx="5418263" cy="1941385"/>
            <wp:effectExtent l="0" t="0" r="0" b="0"/>
            <wp:docPr id="71" name="image36.jpeg"/>
            <wp:cNvGraphicFramePr>
              <a:graphicFrameLocks noChangeAspect="1"/>
            </wp:cNvGraphicFramePr>
            <a:graphic>
              <a:graphicData uri="http://schemas.openxmlformats.org/drawingml/2006/picture">
                <pic:pic>
                  <pic:nvPicPr>
                    <pic:cNvPr id="72" name="image36.jpeg"/>
                    <pic:cNvPicPr/>
                  </pic:nvPicPr>
                  <pic:blipFill>
                    <a:blip r:embed="rId42" cstate="print"/>
                    <a:stretch>
                      <a:fillRect/>
                    </a:stretch>
                  </pic:blipFill>
                  <pic:spPr>
                    <a:xfrm>
                      <a:off x="0" y="0"/>
                      <a:ext cx="5418263" cy="1941385"/>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10"/>
        </w:rPr>
      </w:pPr>
      <w:r>
        <w:rPr/>
        <w:drawing>
          <wp:anchor distT="0" distB="0" distL="0" distR="0" allowOverlap="1" layoutInCell="1" locked="0" behindDoc="0" simplePos="0" relativeHeight="18">
            <wp:simplePos x="0" y="0"/>
            <wp:positionH relativeFrom="page">
              <wp:posOffset>1087645</wp:posOffset>
            </wp:positionH>
            <wp:positionV relativeFrom="paragraph">
              <wp:posOffset>102315</wp:posOffset>
            </wp:positionV>
            <wp:extent cx="5389119" cy="1339405"/>
            <wp:effectExtent l="0" t="0" r="0" b="0"/>
            <wp:wrapTopAndBottom/>
            <wp:docPr id="73" name="image37.jpeg"/>
            <wp:cNvGraphicFramePr>
              <a:graphicFrameLocks noChangeAspect="1"/>
            </wp:cNvGraphicFramePr>
            <a:graphic>
              <a:graphicData uri="http://schemas.openxmlformats.org/drawingml/2006/picture">
                <pic:pic>
                  <pic:nvPicPr>
                    <pic:cNvPr id="74" name="image37.jpeg"/>
                    <pic:cNvPicPr/>
                  </pic:nvPicPr>
                  <pic:blipFill>
                    <a:blip r:embed="rId43" cstate="print"/>
                    <a:stretch>
                      <a:fillRect/>
                    </a:stretch>
                  </pic:blipFill>
                  <pic:spPr>
                    <a:xfrm>
                      <a:off x="0" y="0"/>
                      <a:ext cx="5389119" cy="1339405"/>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1087871</wp:posOffset>
            </wp:positionH>
            <wp:positionV relativeFrom="paragraph">
              <wp:posOffset>1638012</wp:posOffset>
            </wp:positionV>
            <wp:extent cx="5377457" cy="2368581"/>
            <wp:effectExtent l="0" t="0" r="0" b="0"/>
            <wp:wrapTopAndBottom/>
            <wp:docPr id="75" name="image38.jpeg"/>
            <wp:cNvGraphicFramePr>
              <a:graphicFrameLocks noChangeAspect="1"/>
            </wp:cNvGraphicFramePr>
            <a:graphic>
              <a:graphicData uri="http://schemas.openxmlformats.org/drawingml/2006/picture">
                <pic:pic>
                  <pic:nvPicPr>
                    <pic:cNvPr id="76" name="image38.jpeg"/>
                    <pic:cNvPicPr/>
                  </pic:nvPicPr>
                  <pic:blipFill>
                    <a:blip r:embed="rId44" cstate="print"/>
                    <a:stretch>
                      <a:fillRect/>
                    </a:stretch>
                  </pic:blipFill>
                  <pic:spPr>
                    <a:xfrm>
                      <a:off x="0" y="0"/>
                      <a:ext cx="5377457" cy="2368581"/>
                    </a:xfrm>
                    <a:prstGeom prst="rect">
                      <a:avLst/>
                    </a:prstGeom>
                  </pic:spPr>
                </pic:pic>
              </a:graphicData>
            </a:graphic>
          </wp:anchor>
        </w:drawing>
      </w:r>
    </w:p>
    <w:p>
      <w:pPr>
        <w:pStyle w:val="BodyText"/>
        <w:spacing w:before="9"/>
        <w:rPr>
          <w:rFonts w:ascii="Calibri"/>
          <w:sz w:val="19"/>
        </w:rPr>
      </w:pPr>
    </w:p>
    <w:p>
      <w:pPr>
        <w:spacing w:after="0"/>
        <w:rPr>
          <w:rFonts w:ascii="Calibri"/>
          <w:sz w:val="19"/>
        </w:rPr>
        <w:sectPr>
          <w:pgSz w:w="11910" w:h="16840"/>
          <w:pgMar w:header="1217" w:footer="0" w:top="2740" w:bottom="280" w:left="1300" w:right="1440"/>
        </w:sectPr>
      </w:pPr>
    </w:p>
    <w:p>
      <w:pPr>
        <w:pStyle w:val="BodyText"/>
        <w:rPr>
          <w:rFonts w:ascii="Calibri"/>
          <w:sz w:val="20"/>
        </w:rPr>
      </w:pPr>
    </w:p>
    <w:p>
      <w:pPr>
        <w:pStyle w:val="BodyText"/>
        <w:spacing w:before="4"/>
        <w:rPr>
          <w:rFonts w:ascii="Calibri"/>
          <w:sz w:val="28"/>
        </w:rPr>
      </w:pPr>
    </w:p>
    <w:p>
      <w:pPr>
        <w:pStyle w:val="BodyText"/>
        <w:ind w:left="401"/>
        <w:rPr>
          <w:rFonts w:ascii="Calibri"/>
          <w:sz w:val="20"/>
        </w:rPr>
      </w:pPr>
      <w:r>
        <w:rPr>
          <w:rFonts w:ascii="Calibri"/>
          <w:sz w:val="20"/>
        </w:rPr>
        <w:drawing>
          <wp:inline distT="0" distB="0" distL="0" distR="0">
            <wp:extent cx="5386828" cy="2368581"/>
            <wp:effectExtent l="0" t="0" r="0" b="0"/>
            <wp:docPr id="77" name="image39.jpeg"/>
            <wp:cNvGraphicFramePr>
              <a:graphicFrameLocks noChangeAspect="1"/>
            </wp:cNvGraphicFramePr>
            <a:graphic>
              <a:graphicData uri="http://schemas.openxmlformats.org/drawingml/2006/picture">
                <pic:pic>
                  <pic:nvPicPr>
                    <pic:cNvPr id="78" name="image39.jpeg"/>
                    <pic:cNvPicPr/>
                  </pic:nvPicPr>
                  <pic:blipFill>
                    <a:blip r:embed="rId45" cstate="print"/>
                    <a:stretch>
                      <a:fillRect/>
                    </a:stretch>
                  </pic:blipFill>
                  <pic:spPr>
                    <a:xfrm>
                      <a:off x="0" y="0"/>
                      <a:ext cx="5386828" cy="2368581"/>
                    </a:xfrm>
                    <a:prstGeom prst="rect">
                      <a:avLst/>
                    </a:prstGeom>
                  </pic:spPr>
                </pic:pic>
              </a:graphicData>
            </a:graphic>
          </wp:inline>
        </w:drawing>
      </w:r>
      <w:r>
        <w:rPr>
          <w:rFonts w:ascii="Calibri"/>
          <w:sz w:val="20"/>
        </w:rPr>
      </w:r>
    </w:p>
    <w:p>
      <w:pPr>
        <w:pStyle w:val="BodyText"/>
        <w:spacing w:before="10"/>
        <w:rPr>
          <w:rFonts w:ascii="Calibri"/>
          <w:sz w:val="21"/>
        </w:rPr>
      </w:pPr>
      <w:r>
        <w:rPr/>
        <w:drawing>
          <wp:anchor distT="0" distB="0" distL="0" distR="0" allowOverlap="1" layoutInCell="1" locked="0" behindDoc="0" simplePos="0" relativeHeight="20">
            <wp:simplePos x="0" y="0"/>
            <wp:positionH relativeFrom="page">
              <wp:posOffset>1094670</wp:posOffset>
            </wp:positionH>
            <wp:positionV relativeFrom="paragraph">
              <wp:posOffset>194454</wp:posOffset>
            </wp:positionV>
            <wp:extent cx="5262420" cy="3605022"/>
            <wp:effectExtent l="0" t="0" r="0" b="0"/>
            <wp:wrapTopAndBottom/>
            <wp:docPr id="79" name="image40.jpeg"/>
            <wp:cNvGraphicFramePr>
              <a:graphicFrameLocks noChangeAspect="1"/>
            </wp:cNvGraphicFramePr>
            <a:graphic>
              <a:graphicData uri="http://schemas.openxmlformats.org/drawingml/2006/picture">
                <pic:pic>
                  <pic:nvPicPr>
                    <pic:cNvPr id="80" name="image40.jpeg"/>
                    <pic:cNvPicPr/>
                  </pic:nvPicPr>
                  <pic:blipFill>
                    <a:blip r:embed="rId46" cstate="print"/>
                    <a:stretch>
                      <a:fillRect/>
                    </a:stretch>
                  </pic:blipFill>
                  <pic:spPr>
                    <a:xfrm>
                      <a:off x="0" y="0"/>
                      <a:ext cx="5262420" cy="3605022"/>
                    </a:xfrm>
                    <a:prstGeom prst="rect">
                      <a:avLst/>
                    </a:prstGeom>
                  </pic:spPr>
                </pic:pic>
              </a:graphicData>
            </a:graphic>
          </wp:anchor>
        </w:drawing>
      </w:r>
    </w:p>
    <w:p>
      <w:pPr>
        <w:spacing w:after="0"/>
        <w:rPr>
          <w:rFonts w:ascii="Calibri"/>
          <w:sz w:val="21"/>
        </w:rPr>
        <w:sectPr>
          <w:pgSz w:w="11910" w:h="16840"/>
          <w:pgMar w:header="1217" w:footer="0" w:top="2740" w:bottom="280" w:left="1300" w:right="1440"/>
        </w:sectPr>
      </w:pPr>
    </w:p>
    <w:p>
      <w:pPr>
        <w:pStyle w:val="BodyText"/>
        <w:rPr>
          <w:rFonts w:ascii="Calibri"/>
          <w:sz w:val="20"/>
        </w:rPr>
      </w:pPr>
    </w:p>
    <w:p>
      <w:pPr>
        <w:pStyle w:val="BodyText"/>
        <w:spacing w:before="4" w:after="1"/>
        <w:rPr>
          <w:rFonts w:ascii="Calibri"/>
        </w:rPr>
      </w:pPr>
    </w:p>
    <w:p>
      <w:pPr>
        <w:pStyle w:val="BodyText"/>
        <w:ind w:left="401"/>
        <w:rPr>
          <w:rFonts w:ascii="Calibri"/>
          <w:sz w:val="20"/>
        </w:rPr>
      </w:pPr>
      <w:r>
        <w:rPr>
          <w:rFonts w:ascii="Calibri"/>
          <w:sz w:val="20"/>
        </w:rPr>
        <w:drawing>
          <wp:inline distT="0" distB="0" distL="0" distR="0">
            <wp:extent cx="5343463" cy="3664743"/>
            <wp:effectExtent l="0" t="0" r="0" b="0"/>
            <wp:docPr id="81" name="image41.jpeg"/>
            <wp:cNvGraphicFramePr>
              <a:graphicFrameLocks noChangeAspect="1"/>
            </wp:cNvGraphicFramePr>
            <a:graphic>
              <a:graphicData uri="http://schemas.openxmlformats.org/drawingml/2006/picture">
                <pic:pic>
                  <pic:nvPicPr>
                    <pic:cNvPr id="82" name="image41.jpeg"/>
                    <pic:cNvPicPr/>
                  </pic:nvPicPr>
                  <pic:blipFill>
                    <a:blip r:embed="rId47" cstate="print"/>
                    <a:stretch>
                      <a:fillRect/>
                    </a:stretch>
                  </pic:blipFill>
                  <pic:spPr>
                    <a:xfrm>
                      <a:off x="0" y="0"/>
                      <a:ext cx="5343463" cy="3664743"/>
                    </a:xfrm>
                    <a:prstGeom prst="rect">
                      <a:avLst/>
                    </a:prstGeom>
                  </pic:spPr>
                </pic:pic>
              </a:graphicData>
            </a:graphic>
          </wp:inline>
        </w:drawing>
      </w:r>
      <w:r>
        <w:rPr>
          <w:rFonts w:ascii="Calibri"/>
          <w:sz w:val="20"/>
        </w:rPr>
      </w:r>
    </w:p>
    <w:p>
      <w:pPr>
        <w:pStyle w:val="BodyText"/>
        <w:rPr>
          <w:rFonts w:ascii="Calibri"/>
          <w:sz w:val="18"/>
        </w:rPr>
      </w:pPr>
      <w:r>
        <w:rPr/>
        <w:drawing>
          <wp:anchor distT="0" distB="0" distL="0" distR="0" allowOverlap="1" layoutInCell="1" locked="0" behindDoc="0" simplePos="0" relativeHeight="21">
            <wp:simplePos x="0" y="0"/>
            <wp:positionH relativeFrom="page">
              <wp:posOffset>1080135</wp:posOffset>
            </wp:positionH>
            <wp:positionV relativeFrom="paragraph">
              <wp:posOffset>164731</wp:posOffset>
            </wp:positionV>
            <wp:extent cx="5341186" cy="3595878"/>
            <wp:effectExtent l="0" t="0" r="0" b="0"/>
            <wp:wrapTopAndBottom/>
            <wp:docPr id="83" name="image42.jpeg"/>
            <wp:cNvGraphicFramePr>
              <a:graphicFrameLocks noChangeAspect="1"/>
            </wp:cNvGraphicFramePr>
            <a:graphic>
              <a:graphicData uri="http://schemas.openxmlformats.org/drawingml/2006/picture">
                <pic:pic>
                  <pic:nvPicPr>
                    <pic:cNvPr id="84" name="image42.jpeg"/>
                    <pic:cNvPicPr/>
                  </pic:nvPicPr>
                  <pic:blipFill>
                    <a:blip r:embed="rId48" cstate="print"/>
                    <a:stretch>
                      <a:fillRect/>
                    </a:stretch>
                  </pic:blipFill>
                  <pic:spPr>
                    <a:xfrm>
                      <a:off x="0" y="0"/>
                      <a:ext cx="5341186" cy="3595878"/>
                    </a:xfrm>
                    <a:prstGeom prst="rect">
                      <a:avLst/>
                    </a:prstGeom>
                  </pic:spPr>
                </pic:pic>
              </a:graphicData>
            </a:graphic>
          </wp:anchor>
        </w:drawing>
      </w:r>
    </w:p>
    <w:p>
      <w:pPr>
        <w:spacing w:after="0"/>
        <w:rPr>
          <w:rFonts w:ascii="Calibri"/>
          <w:sz w:val="18"/>
        </w:rPr>
        <w:sectPr>
          <w:pgSz w:w="11910" w:h="16840"/>
          <w:pgMar w:header="1217" w:footer="0" w:top="2740" w:bottom="280" w:left="1300" w:right="1440"/>
        </w:sectPr>
      </w:pPr>
    </w:p>
    <w:p>
      <w:pPr>
        <w:pStyle w:val="BodyText"/>
        <w:rPr>
          <w:rFonts w:ascii="Calibri"/>
          <w:sz w:val="20"/>
        </w:rPr>
      </w:pPr>
    </w:p>
    <w:p>
      <w:pPr>
        <w:pStyle w:val="BodyText"/>
        <w:spacing w:before="3"/>
        <w:rPr>
          <w:rFonts w:ascii="Calibri"/>
          <w:sz w:val="28"/>
        </w:rPr>
      </w:pPr>
    </w:p>
    <w:p>
      <w:pPr>
        <w:pStyle w:val="BodyText"/>
        <w:ind w:left="401"/>
        <w:rPr>
          <w:rFonts w:ascii="Calibri"/>
          <w:sz w:val="20"/>
        </w:rPr>
      </w:pPr>
      <w:r>
        <w:rPr>
          <w:rFonts w:ascii="Calibri"/>
          <w:sz w:val="20"/>
        </w:rPr>
        <w:drawing>
          <wp:inline distT="0" distB="0" distL="0" distR="0">
            <wp:extent cx="5356986" cy="1255585"/>
            <wp:effectExtent l="0" t="0" r="0" b="0"/>
            <wp:docPr id="85" name="image43.png"/>
            <wp:cNvGraphicFramePr>
              <a:graphicFrameLocks noChangeAspect="1"/>
            </wp:cNvGraphicFramePr>
            <a:graphic>
              <a:graphicData uri="http://schemas.openxmlformats.org/drawingml/2006/picture">
                <pic:pic>
                  <pic:nvPicPr>
                    <pic:cNvPr id="86" name="image43.png"/>
                    <pic:cNvPicPr/>
                  </pic:nvPicPr>
                  <pic:blipFill>
                    <a:blip r:embed="rId49" cstate="print"/>
                    <a:stretch>
                      <a:fillRect/>
                    </a:stretch>
                  </pic:blipFill>
                  <pic:spPr>
                    <a:xfrm>
                      <a:off x="0" y="0"/>
                      <a:ext cx="5356986" cy="1255585"/>
                    </a:xfrm>
                    <a:prstGeom prst="rect">
                      <a:avLst/>
                    </a:prstGeom>
                  </pic:spPr>
                </pic:pic>
              </a:graphicData>
            </a:graphic>
          </wp:inline>
        </w:drawing>
      </w:r>
      <w:r>
        <w:rPr>
          <w:rFonts w:ascii="Calibri"/>
          <w:sz w:val="20"/>
        </w:rPr>
      </w:r>
    </w:p>
    <w:p>
      <w:pPr>
        <w:pStyle w:val="BodyText"/>
        <w:spacing w:before="2"/>
        <w:rPr>
          <w:rFonts w:ascii="Calibri"/>
          <w:sz w:val="27"/>
        </w:rPr>
      </w:pPr>
      <w:r>
        <w:rPr/>
        <w:drawing>
          <wp:anchor distT="0" distB="0" distL="0" distR="0" allowOverlap="1" layoutInCell="1" locked="0" behindDoc="0" simplePos="0" relativeHeight="22">
            <wp:simplePos x="0" y="0"/>
            <wp:positionH relativeFrom="page">
              <wp:posOffset>1080135</wp:posOffset>
            </wp:positionH>
            <wp:positionV relativeFrom="paragraph">
              <wp:posOffset>235337</wp:posOffset>
            </wp:positionV>
            <wp:extent cx="5385907" cy="1504473"/>
            <wp:effectExtent l="0" t="0" r="0" b="0"/>
            <wp:wrapTopAndBottom/>
            <wp:docPr id="87" name="image44.jpeg"/>
            <wp:cNvGraphicFramePr>
              <a:graphicFrameLocks noChangeAspect="1"/>
            </wp:cNvGraphicFramePr>
            <a:graphic>
              <a:graphicData uri="http://schemas.openxmlformats.org/drawingml/2006/picture">
                <pic:pic>
                  <pic:nvPicPr>
                    <pic:cNvPr id="88" name="image44.jpeg"/>
                    <pic:cNvPicPr/>
                  </pic:nvPicPr>
                  <pic:blipFill>
                    <a:blip r:embed="rId50" cstate="print"/>
                    <a:stretch>
                      <a:fillRect/>
                    </a:stretch>
                  </pic:blipFill>
                  <pic:spPr>
                    <a:xfrm>
                      <a:off x="0" y="0"/>
                      <a:ext cx="5385907" cy="1504473"/>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1080135</wp:posOffset>
            </wp:positionH>
            <wp:positionV relativeFrom="paragraph">
              <wp:posOffset>1954669</wp:posOffset>
            </wp:positionV>
            <wp:extent cx="5358243" cy="2099405"/>
            <wp:effectExtent l="0" t="0" r="0" b="0"/>
            <wp:wrapTopAndBottom/>
            <wp:docPr id="89" name="image45.jpeg"/>
            <wp:cNvGraphicFramePr>
              <a:graphicFrameLocks noChangeAspect="1"/>
            </wp:cNvGraphicFramePr>
            <a:graphic>
              <a:graphicData uri="http://schemas.openxmlformats.org/drawingml/2006/picture">
                <pic:pic>
                  <pic:nvPicPr>
                    <pic:cNvPr id="90" name="image45.jpeg"/>
                    <pic:cNvPicPr/>
                  </pic:nvPicPr>
                  <pic:blipFill>
                    <a:blip r:embed="rId51" cstate="print"/>
                    <a:stretch>
                      <a:fillRect/>
                    </a:stretch>
                  </pic:blipFill>
                  <pic:spPr>
                    <a:xfrm>
                      <a:off x="0" y="0"/>
                      <a:ext cx="5358243" cy="2099405"/>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1080135</wp:posOffset>
            </wp:positionH>
            <wp:positionV relativeFrom="paragraph">
              <wp:posOffset>4232902</wp:posOffset>
            </wp:positionV>
            <wp:extent cx="5392960" cy="2104263"/>
            <wp:effectExtent l="0" t="0" r="0" b="0"/>
            <wp:wrapTopAndBottom/>
            <wp:docPr id="91" name="image46.png"/>
            <wp:cNvGraphicFramePr>
              <a:graphicFrameLocks noChangeAspect="1"/>
            </wp:cNvGraphicFramePr>
            <a:graphic>
              <a:graphicData uri="http://schemas.openxmlformats.org/drawingml/2006/picture">
                <pic:pic>
                  <pic:nvPicPr>
                    <pic:cNvPr id="92" name="image46.png"/>
                    <pic:cNvPicPr/>
                  </pic:nvPicPr>
                  <pic:blipFill>
                    <a:blip r:embed="rId52" cstate="print"/>
                    <a:stretch>
                      <a:fillRect/>
                    </a:stretch>
                  </pic:blipFill>
                  <pic:spPr>
                    <a:xfrm>
                      <a:off x="0" y="0"/>
                      <a:ext cx="5392960" cy="2104263"/>
                    </a:xfrm>
                    <a:prstGeom prst="rect">
                      <a:avLst/>
                    </a:prstGeom>
                  </pic:spPr>
                </pic:pic>
              </a:graphicData>
            </a:graphic>
          </wp:anchor>
        </w:drawing>
      </w:r>
    </w:p>
    <w:p>
      <w:pPr>
        <w:pStyle w:val="BodyText"/>
        <w:spacing w:before="1"/>
        <w:rPr>
          <w:rFonts w:ascii="Calibri"/>
          <w:sz w:val="22"/>
        </w:rPr>
      </w:pPr>
    </w:p>
    <w:p>
      <w:pPr>
        <w:pStyle w:val="BodyText"/>
        <w:spacing w:before="6"/>
        <w:rPr>
          <w:rFonts w:ascii="Calibri"/>
          <w:sz w:val="17"/>
        </w:rPr>
      </w:pPr>
    </w:p>
    <w:p>
      <w:pPr>
        <w:spacing w:after="0"/>
        <w:rPr>
          <w:rFonts w:ascii="Calibri"/>
          <w:sz w:val="17"/>
        </w:rPr>
        <w:sectPr>
          <w:pgSz w:w="11910" w:h="16840"/>
          <w:pgMar w:header="1217" w:footer="0" w:top="2740" w:bottom="280" w:left="1300" w:right="1440"/>
        </w:sectPr>
      </w:pPr>
    </w:p>
    <w:p>
      <w:pPr>
        <w:pStyle w:val="BodyText"/>
        <w:rPr>
          <w:rFonts w:ascii="Calibri"/>
          <w:sz w:val="20"/>
        </w:rPr>
      </w:pPr>
    </w:p>
    <w:p>
      <w:pPr>
        <w:pStyle w:val="BodyText"/>
        <w:spacing w:before="7"/>
        <w:rPr>
          <w:rFonts w:ascii="Calibri"/>
          <w:sz w:val="25"/>
        </w:rPr>
      </w:pPr>
    </w:p>
    <w:p>
      <w:pPr>
        <w:pStyle w:val="BodyText"/>
        <w:ind w:left="401"/>
        <w:rPr>
          <w:rFonts w:ascii="Calibri"/>
          <w:sz w:val="20"/>
        </w:rPr>
      </w:pPr>
      <w:r>
        <w:rPr>
          <w:rFonts w:ascii="Calibri"/>
          <w:sz w:val="20"/>
        </w:rPr>
        <w:drawing>
          <wp:inline distT="0" distB="0" distL="0" distR="0">
            <wp:extent cx="5395799" cy="6088665"/>
            <wp:effectExtent l="0" t="0" r="0" b="0"/>
            <wp:docPr id="93" name="image47.png"/>
            <wp:cNvGraphicFramePr>
              <a:graphicFrameLocks noChangeAspect="1"/>
            </wp:cNvGraphicFramePr>
            <a:graphic>
              <a:graphicData uri="http://schemas.openxmlformats.org/drawingml/2006/picture">
                <pic:pic>
                  <pic:nvPicPr>
                    <pic:cNvPr id="94" name="image47.png"/>
                    <pic:cNvPicPr/>
                  </pic:nvPicPr>
                  <pic:blipFill>
                    <a:blip r:embed="rId53" cstate="print"/>
                    <a:stretch>
                      <a:fillRect/>
                    </a:stretch>
                  </pic:blipFill>
                  <pic:spPr>
                    <a:xfrm>
                      <a:off x="0" y="0"/>
                      <a:ext cx="5395799" cy="6088665"/>
                    </a:xfrm>
                    <a:prstGeom prst="rect">
                      <a:avLst/>
                    </a:prstGeom>
                  </pic:spPr>
                </pic:pic>
              </a:graphicData>
            </a:graphic>
          </wp:inline>
        </w:drawing>
      </w:r>
      <w:r>
        <w:rPr>
          <w:rFonts w:ascii="Calibri"/>
          <w:sz w:val="20"/>
        </w:rPr>
      </w:r>
    </w:p>
    <w:p>
      <w:pPr>
        <w:spacing w:after="0"/>
        <w:rPr>
          <w:rFonts w:ascii="Calibri"/>
          <w:sz w:val="20"/>
        </w:rPr>
        <w:sectPr>
          <w:pgSz w:w="11910" w:h="16840"/>
          <w:pgMar w:header="1217" w:footer="0" w:top="2740" w:bottom="280" w:left="1300" w:right="1440"/>
        </w:sectPr>
      </w:pPr>
    </w:p>
    <w:p>
      <w:pPr>
        <w:pStyle w:val="BodyText"/>
        <w:rPr>
          <w:rFonts w:ascii="Calibri"/>
          <w:sz w:val="20"/>
        </w:rPr>
      </w:pPr>
    </w:p>
    <w:p>
      <w:pPr>
        <w:pStyle w:val="BodyText"/>
        <w:spacing w:before="2"/>
        <w:rPr>
          <w:rFonts w:ascii="Calibri"/>
          <w:sz w:val="20"/>
        </w:rPr>
      </w:pPr>
    </w:p>
    <w:p>
      <w:pPr>
        <w:pStyle w:val="BodyText"/>
        <w:spacing w:before="51"/>
        <w:ind w:left="402"/>
        <w:rPr>
          <w:rFonts w:ascii="Calibri"/>
        </w:rPr>
      </w:pPr>
      <w:r>
        <w:rPr>
          <w:rFonts w:ascii="Calibri"/>
        </w:rPr>
        <w:t>ACTIVIDADES DIRIGIDAS</w:t>
      </w:r>
    </w:p>
    <w:p>
      <w:pPr>
        <w:pStyle w:val="BodyText"/>
        <w:spacing w:before="3"/>
        <w:rPr>
          <w:rFonts w:ascii="Calibri"/>
          <w:sz w:val="14"/>
        </w:rPr>
      </w:pPr>
      <w:r>
        <w:rPr/>
        <w:drawing>
          <wp:anchor distT="0" distB="0" distL="0" distR="0" allowOverlap="1" layoutInCell="1" locked="0" behindDoc="0" simplePos="0" relativeHeight="25">
            <wp:simplePos x="0" y="0"/>
            <wp:positionH relativeFrom="page">
              <wp:posOffset>1108710</wp:posOffset>
            </wp:positionH>
            <wp:positionV relativeFrom="paragraph">
              <wp:posOffset>135604</wp:posOffset>
            </wp:positionV>
            <wp:extent cx="3467100" cy="3362325"/>
            <wp:effectExtent l="0" t="0" r="0" b="0"/>
            <wp:wrapTopAndBottom/>
            <wp:docPr id="95" name="image48.png"/>
            <wp:cNvGraphicFramePr>
              <a:graphicFrameLocks noChangeAspect="1"/>
            </wp:cNvGraphicFramePr>
            <a:graphic>
              <a:graphicData uri="http://schemas.openxmlformats.org/drawingml/2006/picture">
                <pic:pic>
                  <pic:nvPicPr>
                    <pic:cNvPr id="96" name="image48.png"/>
                    <pic:cNvPicPr/>
                  </pic:nvPicPr>
                  <pic:blipFill>
                    <a:blip r:embed="rId54" cstate="print"/>
                    <a:stretch>
                      <a:fillRect/>
                    </a:stretch>
                  </pic:blipFill>
                  <pic:spPr>
                    <a:xfrm>
                      <a:off x="0" y="0"/>
                      <a:ext cx="3467100" cy="3362325"/>
                    </a:xfrm>
                    <a:prstGeom prst="rect">
                      <a:avLst/>
                    </a:prstGeom>
                  </pic:spPr>
                </pic:pic>
              </a:graphicData>
            </a:graphic>
          </wp:anchor>
        </w:drawing>
      </w:r>
    </w:p>
    <w:p>
      <w:pPr>
        <w:spacing w:after="0"/>
        <w:rPr>
          <w:rFonts w:ascii="Calibri"/>
          <w:sz w:val="14"/>
        </w:rPr>
        <w:sectPr>
          <w:pgSz w:w="11910" w:h="16840"/>
          <w:pgMar w:header="1217" w:footer="0" w:top="2740" w:bottom="280" w:left="1300" w:right="1440"/>
        </w:sectPr>
      </w:pPr>
    </w:p>
    <w:p>
      <w:pPr>
        <w:pStyle w:val="BodyText"/>
        <w:rPr>
          <w:rFonts w:ascii="Calibri"/>
          <w:sz w:val="20"/>
        </w:rPr>
      </w:pPr>
    </w:p>
    <w:p>
      <w:pPr>
        <w:pStyle w:val="BodyText"/>
        <w:spacing w:before="2"/>
        <w:rPr>
          <w:rFonts w:ascii="Calibri"/>
          <w:sz w:val="17"/>
        </w:rPr>
      </w:pPr>
    </w:p>
    <w:p>
      <w:pPr>
        <w:pStyle w:val="Heading3"/>
        <w:spacing w:before="88"/>
        <w:rPr>
          <w:u w:val="none"/>
        </w:rPr>
      </w:pPr>
      <w:r>
        <w:rPr>
          <w:u w:val="thick"/>
        </w:rPr>
        <w:t>SERVICIOS SOCIALES</w:t>
      </w:r>
    </w:p>
    <w:p>
      <w:pPr>
        <w:pStyle w:val="BodyText"/>
        <w:rPr>
          <w:b/>
          <w:sz w:val="20"/>
        </w:rPr>
      </w:pPr>
    </w:p>
    <w:p>
      <w:pPr>
        <w:pStyle w:val="BodyText"/>
        <w:rPr>
          <w:b/>
          <w:sz w:val="20"/>
        </w:rPr>
      </w:pPr>
    </w:p>
    <w:p>
      <w:pPr>
        <w:pStyle w:val="BodyText"/>
        <w:spacing w:before="4"/>
        <w:rPr>
          <w:b/>
          <w:sz w:val="21"/>
        </w:rPr>
      </w:pPr>
      <w:r>
        <w:rPr/>
        <w:drawing>
          <wp:anchor distT="0" distB="0" distL="0" distR="0" allowOverlap="1" layoutInCell="1" locked="0" behindDoc="0" simplePos="0" relativeHeight="26">
            <wp:simplePos x="0" y="0"/>
            <wp:positionH relativeFrom="page">
              <wp:posOffset>1137063</wp:posOffset>
            </wp:positionH>
            <wp:positionV relativeFrom="paragraph">
              <wp:posOffset>180777</wp:posOffset>
            </wp:positionV>
            <wp:extent cx="5263261" cy="6647021"/>
            <wp:effectExtent l="0" t="0" r="0" b="0"/>
            <wp:wrapTopAndBottom/>
            <wp:docPr id="97" name="image49.jpeg"/>
            <wp:cNvGraphicFramePr>
              <a:graphicFrameLocks noChangeAspect="1"/>
            </wp:cNvGraphicFramePr>
            <a:graphic>
              <a:graphicData uri="http://schemas.openxmlformats.org/drawingml/2006/picture">
                <pic:pic>
                  <pic:nvPicPr>
                    <pic:cNvPr id="98" name="image49.jpeg"/>
                    <pic:cNvPicPr/>
                  </pic:nvPicPr>
                  <pic:blipFill>
                    <a:blip r:embed="rId55" cstate="print"/>
                    <a:stretch>
                      <a:fillRect/>
                    </a:stretch>
                  </pic:blipFill>
                  <pic:spPr>
                    <a:xfrm>
                      <a:off x="0" y="0"/>
                      <a:ext cx="5263261" cy="6647021"/>
                    </a:xfrm>
                    <a:prstGeom prst="rect">
                      <a:avLst/>
                    </a:prstGeom>
                  </pic:spPr>
                </pic:pic>
              </a:graphicData>
            </a:graphic>
          </wp:anchor>
        </w:drawing>
      </w:r>
    </w:p>
    <w:p>
      <w:pPr>
        <w:spacing w:after="0"/>
        <w:rPr>
          <w:sz w:val="21"/>
        </w:rPr>
        <w:sectPr>
          <w:pgSz w:w="11910" w:h="16840"/>
          <w:pgMar w:header="1217" w:footer="0" w:top="2740" w:bottom="280" w:left="1300" w:right="1440"/>
        </w:sectPr>
      </w:pPr>
    </w:p>
    <w:p>
      <w:pPr>
        <w:pStyle w:val="BodyText"/>
        <w:rPr>
          <w:b/>
          <w:sz w:val="20"/>
        </w:rPr>
      </w:pPr>
    </w:p>
    <w:p>
      <w:pPr>
        <w:pStyle w:val="BodyText"/>
        <w:rPr>
          <w:b/>
          <w:sz w:val="20"/>
        </w:rPr>
      </w:pPr>
    </w:p>
    <w:p>
      <w:pPr>
        <w:pStyle w:val="BodyText"/>
        <w:spacing w:before="9"/>
        <w:rPr>
          <w:b/>
          <w:sz w:val="12"/>
        </w:rPr>
      </w:pPr>
    </w:p>
    <w:p>
      <w:pPr>
        <w:pStyle w:val="BodyText"/>
        <w:ind w:left="401"/>
        <w:rPr>
          <w:sz w:val="20"/>
        </w:rPr>
      </w:pPr>
      <w:r>
        <w:rPr>
          <w:sz w:val="20"/>
        </w:rPr>
        <w:drawing>
          <wp:inline distT="0" distB="0" distL="0" distR="0">
            <wp:extent cx="5377959" cy="3969353"/>
            <wp:effectExtent l="0" t="0" r="0" b="0"/>
            <wp:docPr id="99" name="image50.jpeg"/>
            <wp:cNvGraphicFramePr>
              <a:graphicFrameLocks noChangeAspect="1"/>
            </wp:cNvGraphicFramePr>
            <a:graphic>
              <a:graphicData uri="http://schemas.openxmlformats.org/drawingml/2006/picture">
                <pic:pic>
                  <pic:nvPicPr>
                    <pic:cNvPr id="100" name="image50.jpeg"/>
                    <pic:cNvPicPr/>
                  </pic:nvPicPr>
                  <pic:blipFill>
                    <a:blip r:embed="rId56" cstate="print"/>
                    <a:stretch>
                      <a:fillRect/>
                    </a:stretch>
                  </pic:blipFill>
                  <pic:spPr>
                    <a:xfrm>
                      <a:off x="0" y="0"/>
                      <a:ext cx="5377959" cy="3969353"/>
                    </a:xfrm>
                    <a:prstGeom prst="rect">
                      <a:avLst/>
                    </a:prstGeom>
                  </pic:spPr>
                </pic:pic>
              </a:graphicData>
            </a:graphic>
          </wp:inline>
        </w:drawing>
      </w:r>
      <w:r>
        <w:rPr>
          <w:sz w:val="20"/>
        </w:rPr>
      </w:r>
    </w:p>
    <w:p>
      <w:pPr>
        <w:pStyle w:val="BodyText"/>
        <w:rPr>
          <w:b/>
          <w:sz w:val="20"/>
        </w:rPr>
      </w:pPr>
    </w:p>
    <w:p>
      <w:pPr>
        <w:pStyle w:val="BodyText"/>
        <w:spacing w:before="1"/>
        <w:rPr>
          <w:b/>
          <w:sz w:val="13"/>
        </w:rPr>
      </w:pPr>
      <w:r>
        <w:rPr/>
        <w:drawing>
          <wp:anchor distT="0" distB="0" distL="0" distR="0" allowOverlap="1" layoutInCell="1" locked="0" behindDoc="0" simplePos="0" relativeHeight="27">
            <wp:simplePos x="0" y="0"/>
            <wp:positionH relativeFrom="page">
              <wp:posOffset>1108710</wp:posOffset>
            </wp:positionH>
            <wp:positionV relativeFrom="paragraph">
              <wp:posOffset>120778</wp:posOffset>
            </wp:positionV>
            <wp:extent cx="5219700" cy="142875"/>
            <wp:effectExtent l="0" t="0" r="0" b="0"/>
            <wp:wrapTopAndBottom/>
            <wp:docPr id="101" name="image51.png"/>
            <wp:cNvGraphicFramePr>
              <a:graphicFrameLocks noChangeAspect="1"/>
            </wp:cNvGraphicFramePr>
            <a:graphic>
              <a:graphicData uri="http://schemas.openxmlformats.org/drawingml/2006/picture">
                <pic:pic>
                  <pic:nvPicPr>
                    <pic:cNvPr id="102" name="image51.png"/>
                    <pic:cNvPicPr/>
                  </pic:nvPicPr>
                  <pic:blipFill>
                    <a:blip r:embed="rId57" cstate="print"/>
                    <a:stretch>
                      <a:fillRect/>
                    </a:stretch>
                  </pic:blipFill>
                  <pic:spPr>
                    <a:xfrm>
                      <a:off x="0" y="0"/>
                      <a:ext cx="5219700" cy="142875"/>
                    </a:xfrm>
                    <a:prstGeom prst="rect">
                      <a:avLst/>
                    </a:prstGeom>
                  </pic:spPr>
                </pic:pic>
              </a:graphicData>
            </a:graphic>
          </wp:anchor>
        </w:drawing>
      </w:r>
    </w:p>
    <w:p>
      <w:pPr>
        <w:pStyle w:val="BodyText"/>
        <w:rPr>
          <w:b/>
          <w:sz w:val="20"/>
        </w:rPr>
      </w:pPr>
    </w:p>
    <w:p>
      <w:pPr>
        <w:pStyle w:val="BodyText"/>
        <w:spacing w:before="9"/>
        <w:rPr>
          <w:b/>
          <w:sz w:val="10"/>
        </w:rPr>
      </w:pPr>
      <w:r>
        <w:rPr/>
        <w:drawing>
          <wp:anchor distT="0" distB="0" distL="0" distR="0" allowOverlap="1" layoutInCell="1" locked="0" behindDoc="0" simplePos="0" relativeHeight="28">
            <wp:simplePos x="0" y="0"/>
            <wp:positionH relativeFrom="page">
              <wp:posOffset>1112862</wp:posOffset>
            </wp:positionH>
            <wp:positionV relativeFrom="paragraph">
              <wp:posOffset>103749</wp:posOffset>
            </wp:positionV>
            <wp:extent cx="5264251" cy="2145506"/>
            <wp:effectExtent l="0" t="0" r="0" b="0"/>
            <wp:wrapTopAndBottom/>
            <wp:docPr id="103" name="image52.png"/>
            <wp:cNvGraphicFramePr>
              <a:graphicFrameLocks noChangeAspect="1"/>
            </wp:cNvGraphicFramePr>
            <a:graphic>
              <a:graphicData uri="http://schemas.openxmlformats.org/drawingml/2006/picture">
                <pic:pic>
                  <pic:nvPicPr>
                    <pic:cNvPr id="104" name="image52.png"/>
                    <pic:cNvPicPr/>
                  </pic:nvPicPr>
                  <pic:blipFill>
                    <a:blip r:embed="rId58" cstate="print"/>
                    <a:stretch>
                      <a:fillRect/>
                    </a:stretch>
                  </pic:blipFill>
                  <pic:spPr>
                    <a:xfrm>
                      <a:off x="0" y="0"/>
                      <a:ext cx="5264251" cy="2145506"/>
                    </a:xfrm>
                    <a:prstGeom prst="rect">
                      <a:avLst/>
                    </a:prstGeom>
                  </pic:spPr>
                </pic:pic>
              </a:graphicData>
            </a:graphic>
          </wp:anchor>
        </w:drawing>
      </w:r>
    </w:p>
    <w:p>
      <w:pPr>
        <w:spacing w:after="0"/>
        <w:rPr>
          <w:sz w:val="10"/>
        </w:rPr>
        <w:sectPr>
          <w:pgSz w:w="11910" w:h="16840"/>
          <w:pgMar w:header="1217" w:footer="0" w:top="2740" w:bottom="280" w:left="1300" w:right="1440"/>
        </w:sectPr>
      </w:pPr>
    </w:p>
    <w:p>
      <w:pPr>
        <w:pStyle w:val="BodyText"/>
        <w:rPr>
          <w:b/>
          <w:sz w:val="20"/>
        </w:rPr>
      </w:pPr>
    </w:p>
    <w:p>
      <w:pPr>
        <w:pStyle w:val="BodyText"/>
        <w:rPr>
          <w:b/>
          <w:sz w:val="20"/>
        </w:rPr>
      </w:pPr>
    </w:p>
    <w:p>
      <w:pPr>
        <w:pStyle w:val="BodyText"/>
        <w:spacing w:before="5" w:after="1"/>
        <w:rPr>
          <w:b/>
          <w:sz w:val="10"/>
        </w:rPr>
      </w:pPr>
    </w:p>
    <w:p>
      <w:pPr>
        <w:pStyle w:val="BodyText"/>
        <w:ind w:left="413"/>
        <w:rPr>
          <w:sz w:val="20"/>
        </w:rPr>
      </w:pPr>
      <w:r>
        <w:rPr>
          <w:sz w:val="20"/>
        </w:rPr>
        <w:drawing>
          <wp:inline distT="0" distB="0" distL="0" distR="0">
            <wp:extent cx="5388126" cy="2477738"/>
            <wp:effectExtent l="0" t="0" r="0" b="0"/>
            <wp:docPr id="105" name="image53.png"/>
            <wp:cNvGraphicFramePr>
              <a:graphicFrameLocks noChangeAspect="1"/>
            </wp:cNvGraphicFramePr>
            <a:graphic>
              <a:graphicData uri="http://schemas.openxmlformats.org/drawingml/2006/picture">
                <pic:pic>
                  <pic:nvPicPr>
                    <pic:cNvPr id="106" name="image53.png"/>
                    <pic:cNvPicPr/>
                  </pic:nvPicPr>
                  <pic:blipFill>
                    <a:blip r:embed="rId59" cstate="print"/>
                    <a:stretch>
                      <a:fillRect/>
                    </a:stretch>
                  </pic:blipFill>
                  <pic:spPr>
                    <a:xfrm>
                      <a:off x="0" y="0"/>
                      <a:ext cx="5388126" cy="2477738"/>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8"/>
        </w:rPr>
      </w:pPr>
      <w:r>
        <w:rPr/>
        <w:drawing>
          <wp:anchor distT="0" distB="0" distL="0" distR="0" allowOverlap="1" layoutInCell="1" locked="0" behindDoc="0" simplePos="0" relativeHeight="29">
            <wp:simplePos x="0" y="0"/>
            <wp:positionH relativeFrom="page">
              <wp:posOffset>1080135</wp:posOffset>
            </wp:positionH>
            <wp:positionV relativeFrom="paragraph">
              <wp:posOffset>159735</wp:posOffset>
            </wp:positionV>
            <wp:extent cx="5303872" cy="2411444"/>
            <wp:effectExtent l="0" t="0" r="0" b="0"/>
            <wp:wrapTopAndBottom/>
            <wp:docPr id="107" name="image54.jpeg"/>
            <wp:cNvGraphicFramePr>
              <a:graphicFrameLocks noChangeAspect="1"/>
            </wp:cNvGraphicFramePr>
            <a:graphic>
              <a:graphicData uri="http://schemas.openxmlformats.org/drawingml/2006/picture">
                <pic:pic>
                  <pic:nvPicPr>
                    <pic:cNvPr id="108" name="image54.jpeg"/>
                    <pic:cNvPicPr/>
                  </pic:nvPicPr>
                  <pic:blipFill>
                    <a:blip r:embed="rId60" cstate="print"/>
                    <a:stretch>
                      <a:fillRect/>
                    </a:stretch>
                  </pic:blipFill>
                  <pic:spPr>
                    <a:xfrm>
                      <a:off x="0" y="0"/>
                      <a:ext cx="5303872" cy="2411444"/>
                    </a:xfrm>
                    <a:prstGeom prst="rect">
                      <a:avLst/>
                    </a:prstGeom>
                  </pic:spPr>
                </pic:pic>
              </a:graphicData>
            </a:graphic>
          </wp:anchor>
        </w:drawing>
      </w:r>
    </w:p>
    <w:p>
      <w:pPr>
        <w:spacing w:after="0"/>
        <w:rPr>
          <w:sz w:val="18"/>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74975" cy="7332821"/>
            <wp:effectExtent l="0" t="0" r="0" b="0"/>
            <wp:docPr id="109" name="image55.jpeg"/>
            <wp:cNvGraphicFramePr>
              <a:graphicFrameLocks noChangeAspect="1"/>
            </wp:cNvGraphicFramePr>
            <a:graphic>
              <a:graphicData uri="http://schemas.openxmlformats.org/drawingml/2006/picture">
                <pic:pic>
                  <pic:nvPicPr>
                    <pic:cNvPr id="110" name="image55.jpeg"/>
                    <pic:cNvPicPr/>
                  </pic:nvPicPr>
                  <pic:blipFill>
                    <a:blip r:embed="rId61" cstate="print"/>
                    <a:stretch>
                      <a:fillRect/>
                    </a:stretch>
                  </pic:blipFill>
                  <pic:spPr>
                    <a:xfrm>
                      <a:off x="0" y="0"/>
                      <a:ext cx="5374975" cy="7332821"/>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83514" cy="1576768"/>
            <wp:effectExtent l="0" t="0" r="0" b="0"/>
            <wp:docPr id="111" name="image56.png"/>
            <wp:cNvGraphicFramePr>
              <a:graphicFrameLocks noChangeAspect="1"/>
            </wp:cNvGraphicFramePr>
            <a:graphic>
              <a:graphicData uri="http://schemas.openxmlformats.org/drawingml/2006/picture">
                <pic:pic>
                  <pic:nvPicPr>
                    <pic:cNvPr id="112" name="image56.png"/>
                    <pic:cNvPicPr/>
                  </pic:nvPicPr>
                  <pic:blipFill>
                    <a:blip r:embed="rId62" cstate="print"/>
                    <a:stretch>
                      <a:fillRect/>
                    </a:stretch>
                  </pic:blipFill>
                  <pic:spPr>
                    <a:xfrm>
                      <a:off x="0" y="0"/>
                      <a:ext cx="5383514" cy="1576768"/>
                    </a:xfrm>
                    <a:prstGeom prst="rect">
                      <a:avLst/>
                    </a:prstGeom>
                  </pic:spPr>
                </pic:pic>
              </a:graphicData>
            </a:graphic>
          </wp:inline>
        </w:drawing>
      </w:r>
      <w:r>
        <w:rPr>
          <w:sz w:val="20"/>
        </w:rPr>
      </w:r>
    </w:p>
    <w:p>
      <w:pPr>
        <w:pStyle w:val="BodyText"/>
        <w:spacing w:before="6"/>
        <w:rPr>
          <w:b/>
          <w:sz w:val="15"/>
        </w:rPr>
      </w:pPr>
      <w:r>
        <w:rPr/>
        <w:drawing>
          <wp:anchor distT="0" distB="0" distL="0" distR="0" allowOverlap="1" layoutInCell="1" locked="0" behindDoc="0" simplePos="0" relativeHeight="30">
            <wp:simplePos x="0" y="0"/>
            <wp:positionH relativeFrom="page">
              <wp:posOffset>1080135</wp:posOffset>
            </wp:positionH>
            <wp:positionV relativeFrom="paragraph">
              <wp:posOffset>138684</wp:posOffset>
            </wp:positionV>
            <wp:extent cx="5285943" cy="2056066"/>
            <wp:effectExtent l="0" t="0" r="0" b="0"/>
            <wp:wrapTopAndBottom/>
            <wp:docPr id="113" name="image57.jpeg"/>
            <wp:cNvGraphicFramePr>
              <a:graphicFrameLocks noChangeAspect="1"/>
            </wp:cNvGraphicFramePr>
            <a:graphic>
              <a:graphicData uri="http://schemas.openxmlformats.org/drawingml/2006/picture">
                <pic:pic>
                  <pic:nvPicPr>
                    <pic:cNvPr id="114" name="image57.jpeg"/>
                    <pic:cNvPicPr/>
                  </pic:nvPicPr>
                  <pic:blipFill>
                    <a:blip r:embed="rId63" cstate="print"/>
                    <a:stretch>
                      <a:fillRect/>
                    </a:stretch>
                  </pic:blipFill>
                  <pic:spPr>
                    <a:xfrm>
                      <a:off x="0" y="0"/>
                      <a:ext cx="5285943" cy="2056066"/>
                    </a:xfrm>
                    <a:prstGeom prst="rect">
                      <a:avLst/>
                    </a:prstGeom>
                  </pic:spPr>
                </pic:pic>
              </a:graphicData>
            </a:graphic>
          </wp:anchor>
        </w:drawing>
      </w:r>
    </w:p>
    <w:p>
      <w:pPr>
        <w:spacing w:after="0"/>
        <w:rPr>
          <w:sz w:val="15"/>
        </w:rPr>
        <w:sectPr>
          <w:pgSz w:w="11910" w:h="16840"/>
          <w:pgMar w:header="1217" w:footer="0" w:top="2740" w:bottom="280" w:left="1300" w:right="1440"/>
        </w:sectPr>
      </w:pPr>
    </w:p>
    <w:p>
      <w:pPr>
        <w:pStyle w:val="BodyText"/>
        <w:rPr>
          <w:b/>
          <w:sz w:val="20"/>
        </w:rPr>
      </w:pPr>
    </w:p>
    <w:p>
      <w:pPr>
        <w:pStyle w:val="BodyText"/>
        <w:spacing w:before="3"/>
        <w:rPr>
          <w:b/>
          <w:sz w:val="28"/>
        </w:rPr>
      </w:pPr>
    </w:p>
    <w:p>
      <w:pPr>
        <w:pStyle w:val="BodyText"/>
        <w:ind w:left="401"/>
        <w:rPr>
          <w:sz w:val="20"/>
        </w:rPr>
      </w:pPr>
      <w:r>
        <w:rPr>
          <w:sz w:val="20"/>
        </w:rPr>
        <w:drawing>
          <wp:inline distT="0" distB="0" distL="0" distR="0">
            <wp:extent cx="5386536" cy="5320093"/>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4" cstate="print"/>
                    <a:stretch>
                      <a:fillRect/>
                    </a:stretch>
                  </pic:blipFill>
                  <pic:spPr>
                    <a:xfrm>
                      <a:off x="0" y="0"/>
                      <a:ext cx="5386536" cy="5320093"/>
                    </a:xfrm>
                    <a:prstGeom prst="rect">
                      <a:avLst/>
                    </a:prstGeom>
                  </pic:spPr>
                </pic:pic>
              </a:graphicData>
            </a:graphic>
          </wp:inline>
        </w:drawing>
      </w:r>
      <w:r>
        <w:rPr>
          <w:sz w:val="20"/>
        </w:rPr>
      </w:r>
    </w:p>
    <w:p>
      <w:pPr>
        <w:pStyle w:val="BodyText"/>
        <w:spacing w:before="3"/>
        <w:rPr>
          <w:b/>
          <w:sz w:val="28"/>
        </w:rPr>
      </w:pPr>
      <w:r>
        <w:rPr/>
        <w:drawing>
          <wp:anchor distT="0" distB="0" distL="0" distR="0" allowOverlap="1" layoutInCell="1" locked="0" behindDoc="0" simplePos="0" relativeHeight="31">
            <wp:simplePos x="0" y="0"/>
            <wp:positionH relativeFrom="page">
              <wp:posOffset>1292007</wp:posOffset>
            </wp:positionH>
            <wp:positionV relativeFrom="paragraph">
              <wp:posOffset>231698</wp:posOffset>
            </wp:positionV>
            <wp:extent cx="5157294" cy="890396"/>
            <wp:effectExtent l="0" t="0" r="0" b="0"/>
            <wp:wrapTopAndBottom/>
            <wp:docPr id="117" name="image59.png"/>
            <wp:cNvGraphicFramePr>
              <a:graphicFrameLocks noChangeAspect="1"/>
            </wp:cNvGraphicFramePr>
            <a:graphic>
              <a:graphicData uri="http://schemas.openxmlformats.org/drawingml/2006/picture">
                <pic:pic>
                  <pic:nvPicPr>
                    <pic:cNvPr id="118" name="image59.png"/>
                    <pic:cNvPicPr/>
                  </pic:nvPicPr>
                  <pic:blipFill>
                    <a:blip r:embed="rId65" cstate="print"/>
                    <a:stretch>
                      <a:fillRect/>
                    </a:stretch>
                  </pic:blipFill>
                  <pic:spPr>
                    <a:xfrm>
                      <a:off x="0" y="0"/>
                      <a:ext cx="5157294" cy="890396"/>
                    </a:xfrm>
                    <a:prstGeom prst="rect">
                      <a:avLst/>
                    </a:prstGeom>
                  </pic:spPr>
                </pic:pic>
              </a:graphicData>
            </a:graphic>
          </wp:anchor>
        </w:drawing>
      </w:r>
    </w:p>
    <w:p>
      <w:pPr>
        <w:spacing w:after="0"/>
        <w:rPr>
          <w:sz w:val="28"/>
        </w:rPr>
        <w:sectPr>
          <w:pgSz w:w="11910" w:h="16840"/>
          <w:pgMar w:header="1217" w:footer="0" w:top="2740" w:bottom="280" w:left="1300" w:right="1440"/>
        </w:sectPr>
      </w:pPr>
    </w:p>
    <w:p>
      <w:pPr>
        <w:pStyle w:val="BodyText"/>
        <w:rPr>
          <w:b/>
          <w:sz w:val="20"/>
        </w:rPr>
      </w:pPr>
    </w:p>
    <w:p>
      <w:pPr>
        <w:pStyle w:val="BodyText"/>
        <w:spacing w:before="3" w:after="1"/>
        <w:rPr>
          <w:b/>
          <w:sz w:val="29"/>
        </w:rPr>
      </w:pPr>
    </w:p>
    <w:p>
      <w:pPr>
        <w:pStyle w:val="BodyText"/>
        <w:ind w:left="489"/>
        <w:rPr>
          <w:sz w:val="20"/>
        </w:rPr>
      </w:pPr>
      <w:r>
        <w:rPr>
          <w:sz w:val="20"/>
        </w:rPr>
        <w:drawing>
          <wp:inline distT="0" distB="0" distL="0" distR="0">
            <wp:extent cx="5209056" cy="6424803"/>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6" cstate="print"/>
                    <a:stretch>
                      <a:fillRect/>
                    </a:stretch>
                  </pic:blipFill>
                  <pic:spPr>
                    <a:xfrm>
                      <a:off x="0" y="0"/>
                      <a:ext cx="5209056" cy="6424803"/>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spacing w:before="5"/>
        <w:rPr>
          <w:b/>
          <w:sz w:val="22"/>
        </w:rPr>
      </w:pPr>
    </w:p>
    <w:p>
      <w:pPr>
        <w:spacing w:before="54"/>
        <w:ind w:left="402" w:right="0" w:firstLine="0"/>
        <w:jc w:val="left"/>
        <w:rPr>
          <w:rFonts w:ascii="Calibri" w:hAnsi="Calibri"/>
          <w:b/>
          <w:sz w:val="23"/>
        </w:rPr>
      </w:pPr>
      <w:r>
        <w:rPr>
          <w:rFonts w:ascii="Calibri" w:hAnsi="Calibri"/>
          <w:b/>
          <w:sz w:val="23"/>
        </w:rPr>
        <w:t>RESUMEN SERVICIO DE MENORES Y FAMILIA AÑO 2025</w:t>
      </w:r>
    </w:p>
    <w:p>
      <w:pPr>
        <w:pStyle w:val="BodyText"/>
        <w:spacing w:before="12"/>
        <w:rPr>
          <w:rFonts w:ascii="Calibri"/>
          <w:b/>
          <w:sz w:val="22"/>
        </w:rPr>
      </w:pPr>
    </w:p>
    <w:p>
      <w:pPr>
        <w:spacing w:before="0"/>
        <w:ind w:left="402" w:right="0" w:firstLine="0"/>
        <w:jc w:val="left"/>
        <w:rPr>
          <w:rFonts w:ascii="Calibri"/>
          <w:b/>
          <w:sz w:val="23"/>
        </w:rPr>
      </w:pPr>
      <w:r>
        <w:rPr>
          <w:rFonts w:ascii="Calibri"/>
          <w:b/>
          <w:sz w:val="23"/>
        </w:rPr>
        <w:t>PLAN CORRESPONSABLES</w:t>
      </w:r>
    </w:p>
    <w:p>
      <w:pPr>
        <w:spacing w:before="0"/>
        <w:ind w:left="402" w:right="304" w:firstLine="0"/>
        <w:jc w:val="both"/>
        <w:rPr>
          <w:rFonts w:ascii="Calibri" w:hAnsi="Calibri"/>
          <w:b/>
          <w:sz w:val="23"/>
        </w:rPr>
      </w:pPr>
      <w:r>
        <w:rPr>
          <w:rFonts w:ascii="Calibri" w:hAnsi="Calibri"/>
          <w:b/>
          <w:sz w:val="23"/>
        </w:rPr>
        <w:t>Hasta la fecha actual (07.01.2025) no existe una Resolución por parte de la Consejería de Bienestar Social, Igualdad, Juventud, Infancia y Familias del Gobierno de Canarias para la concesión de la aportación dineraria.</w:t>
      </w:r>
    </w:p>
    <w:p>
      <w:pPr>
        <w:spacing w:before="0"/>
        <w:ind w:left="402" w:right="300" w:firstLine="0"/>
        <w:jc w:val="left"/>
        <w:rPr>
          <w:rFonts w:ascii="Calibri" w:hAnsi="Calibri"/>
          <w:sz w:val="23"/>
        </w:rPr>
      </w:pPr>
      <w:r>
        <w:rPr>
          <w:rFonts w:ascii="Calibri" w:hAnsi="Calibri"/>
          <w:b/>
          <w:sz w:val="23"/>
        </w:rPr>
        <w:t>SIN EMBARGO, sí existe un comunicado por parte de </w:t>
      </w:r>
      <w:r>
        <w:rPr>
          <w:rFonts w:ascii="Calibri" w:hAnsi="Calibri"/>
          <w:sz w:val="23"/>
        </w:rPr>
        <w:t>la FECAM del “Protocolo General de Actuación entre la Administración Pública de la Comunidad Autónoma de Canarias, a través de la Consejería de Bienestar Social, Igualdad, Juventud, Infancia y Familias y la Federación Canaria de Municipios (FECAM)” a los efectos de planificar la distribución de los créditos disponibles a cargo del presupuesto del plan corresponsables para el año 2025 entre los Ayuntamientos de la Comunidad Autónoma de Canarias que han manifestado su voluntad de continuar comprometidos con la ejecución de dicho plan firmado desde la Viceconsejería de Igualdad de Gobierno de Canarias.</w:t>
      </w:r>
    </w:p>
    <w:p>
      <w:pPr>
        <w:spacing w:before="1"/>
        <w:ind w:left="402" w:right="291" w:firstLine="0"/>
        <w:jc w:val="left"/>
        <w:rPr>
          <w:rFonts w:ascii="Calibri" w:hAnsi="Calibri"/>
          <w:b/>
          <w:sz w:val="23"/>
        </w:rPr>
      </w:pPr>
      <w:r>
        <w:rPr>
          <w:rFonts w:ascii="Calibri" w:hAnsi="Calibri"/>
          <w:b/>
          <w:sz w:val="23"/>
        </w:rPr>
        <w:t>En dicho protocolo se anexa un documento donde se hace contar la distribución de fondos, donde se refleja de un compromiso para el Ayuntamiento de Tías de: 129.054,40 euros para el año 2025.</w:t>
      </w:r>
    </w:p>
    <w:p>
      <w:pPr>
        <w:spacing w:before="0"/>
        <w:ind w:left="402" w:right="312" w:firstLine="0"/>
        <w:jc w:val="left"/>
        <w:rPr>
          <w:rFonts w:ascii="Calibri" w:hAnsi="Calibri"/>
          <w:sz w:val="23"/>
        </w:rPr>
      </w:pPr>
      <w:r>
        <w:rPr>
          <w:rFonts w:ascii="Calibri" w:hAnsi="Calibri"/>
          <w:sz w:val="23"/>
        </w:rPr>
        <w:t>Como bien se indicó anteriormente, permanecemos a la espera de que procedan a su publicación en la página web del Plan Corresponsables del Gobierno de Canarias, así como la correspondiente</w:t>
      </w:r>
    </w:p>
    <w:p>
      <w:pPr>
        <w:spacing w:line="240" w:lineRule="auto" w:before="0"/>
        <w:ind w:left="402" w:right="430" w:firstLine="0"/>
        <w:jc w:val="left"/>
        <w:rPr>
          <w:rFonts w:ascii="Calibri" w:hAnsi="Calibri"/>
          <w:sz w:val="23"/>
        </w:rPr>
      </w:pPr>
      <w:r>
        <w:rPr>
          <w:rFonts w:ascii="Calibri" w:hAnsi="Calibri"/>
          <w:sz w:val="23"/>
        </w:rPr>
        <w:t>publicación de la orden de aportación dineraria 2025 y el anuncio de la apertura de plazo para solicitar dicha aportación.</w:t>
      </w:r>
    </w:p>
    <w:p>
      <w:pPr>
        <w:spacing w:before="0"/>
        <w:ind w:left="402" w:right="1344" w:firstLine="0"/>
        <w:jc w:val="both"/>
        <w:rPr>
          <w:rFonts w:ascii="Calibri" w:hAnsi="Calibri"/>
          <w:sz w:val="23"/>
        </w:rPr>
      </w:pPr>
      <w:r>
        <w:rPr>
          <w:rFonts w:ascii="Calibri" w:hAnsi="Calibri"/>
          <w:b/>
          <w:sz w:val="23"/>
        </w:rPr>
        <w:t>Nota aclaratoria</w:t>
      </w:r>
      <w:r>
        <w:rPr>
          <w:rFonts w:ascii="Calibri" w:hAnsi="Calibri"/>
          <w:sz w:val="23"/>
        </w:rPr>
        <w:t>: hasta el 28/02/2026 los Ayuntamientos pueden presentar las justificaciones respecto al Plan Corresponsables año 2024. Aún hay muchísimos Ayuntamientos de Canarias sin justificar así que todo va muy muy lento.</w:t>
      </w:r>
    </w:p>
    <w:p>
      <w:pPr>
        <w:spacing w:line="261" w:lineRule="auto" w:before="0"/>
        <w:ind w:left="402" w:right="263" w:firstLine="0"/>
        <w:jc w:val="both"/>
        <w:rPr>
          <w:rFonts w:ascii="Calibri" w:hAnsi="Calibri"/>
          <w:sz w:val="23"/>
        </w:rPr>
      </w:pPr>
      <w:r>
        <w:rPr>
          <w:rFonts w:ascii="Calibri" w:hAnsi="Calibri"/>
          <w:sz w:val="23"/>
        </w:rPr>
        <w:t>El Departamento de Bienestar Social presentó su justificación mediados del año 2025. Por el momento, no hay ningún requerimiento.</w:t>
      </w:r>
    </w:p>
    <w:p>
      <w:pPr>
        <w:spacing w:before="154"/>
        <w:ind w:left="402" w:right="395" w:firstLine="0"/>
        <w:jc w:val="left"/>
        <w:rPr>
          <w:rFonts w:ascii="Calibri" w:hAnsi="Calibri"/>
          <w:sz w:val="23"/>
        </w:rPr>
      </w:pPr>
      <w:r>
        <w:rPr>
          <w:rFonts w:ascii="Calibri" w:hAnsi="Calibri"/>
          <w:sz w:val="23"/>
        </w:rPr>
        <w:t>La Orden de Financiación va con retraso, ya que ha transcurrido el año 2025 y aún se está pendiente de la misma. No obstante, el Ayuntamiento de Tías ha realizado el proyecto Servicio de Día acorde con lo exigido en el Plan Corresponsables.</w:t>
      </w:r>
    </w:p>
    <w:p>
      <w:pPr>
        <w:pStyle w:val="BodyText"/>
        <w:rPr>
          <w:rFonts w:ascii="Calibri"/>
          <w:sz w:val="23"/>
        </w:rPr>
      </w:pPr>
    </w:p>
    <w:p>
      <w:pPr>
        <w:pStyle w:val="ListParagraph"/>
        <w:numPr>
          <w:ilvl w:val="0"/>
          <w:numId w:val="10"/>
        </w:numPr>
        <w:tabs>
          <w:tab w:pos="1109" w:val="left" w:leader="none"/>
          <w:tab w:pos="1110" w:val="left" w:leader="none"/>
        </w:tabs>
        <w:spacing w:line="240" w:lineRule="auto" w:before="0" w:after="0"/>
        <w:ind w:left="402" w:right="369" w:firstLine="0"/>
        <w:jc w:val="left"/>
        <w:rPr>
          <w:rFonts w:ascii="Calibri" w:hAnsi="Calibri"/>
          <w:sz w:val="23"/>
        </w:rPr>
      </w:pPr>
      <w:r>
        <w:rPr>
          <w:rFonts w:ascii="Calibri" w:hAnsi="Calibri"/>
          <w:sz w:val="20"/>
        </w:rPr>
        <w:t>• </w:t>
      </w:r>
      <w:r>
        <w:rPr>
          <w:rFonts w:ascii="Calibri" w:hAnsi="Calibri"/>
          <w:b/>
          <w:sz w:val="23"/>
        </w:rPr>
        <w:t>SERVICIO DE DÍA CRECIENDO. </w:t>
      </w:r>
      <w:r>
        <w:rPr>
          <w:rFonts w:ascii="Calibri" w:hAnsi="Calibri"/>
          <w:sz w:val="23"/>
        </w:rPr>
        <w:t>Este año 2025 se ha fijado una subvención nominada de 190.000 euros para el Servicio de Día para el desarrollo del proyecto desde marzo 2025 a febrero 2026. Parte del importe se financiará a través de la cantidad económica recibida para el Plan Corresponsables, aún pendiente de la Orden de Financiación. Según el protocolo firmado entre Gobierno de Canarias y FECAM</w:t>
      </w:r>
      <w:r>
        <w:rPr>
          <w:rFonts w:ascii="Calibri" w:hAnsi="Calibri"/>
          <w:spacing w:val="-38"/>
          <w:sz w:val="23"/>
        </w:rPr>
        <w:t> </w:t>
      </w:r>
      <w:r>
        <w:rPr>
          <w:rFonts w:ascii="Calibri" w:hAnsi="Calibri"/>
          <w:sz w:val="23"/>
        </w:rPr>
        <w:t>la cantidad correspondiente a Tías es de: </w:t>
      </w:r>
      <w:r>
        <w:rPr>
          <w:rFonts w:ascii="Calibri" w:hAnsi="Calibri"/>
          <w:b/>
          <w:sz w:val="23"/>
        </w:rPr>
        <w:t>129.054,40</w:t>
      </w:r>
      <w:r>
        <w:rPr>
          <w:rFonts w:ascii="Calibri" w:hAnsi="Calibri"/>
          <w:b/>
          <w:spacing w:val="-3"/>
          <w:sz w:val="23"/>
        </w:rPr>
        <w:t> </w:t>
      </w:r>
      <w:r>
        <w:rPr>
          <w:rFonts w:ascii="Calibri" w:hAnsi="Calibri"/>
          <w:b/>
          <w:sz w:val="23"/>
        </w:rPr>
        <w:t>euros</w:t>
      </w:r>
      <w:r>
        <w:rPr>
          <w:rFonts w:ascii="Calibri" w:hAnsi="Calibri"/>
          <w:sz w:val="23"/>
        </w:rPr>
        <w:t>.</w:t>
      </w:r>
    </w:p>
    <w:p>
      <w:pPr>
        <w:pStyle w:val="BodyText"/>
        <w:spacing w:before="11"/>
        <w:rPr>
          <w:rFonts w:ascii="Calibri"/>
          <w:sz w:val="22"/>
        </w:rPr>
      </w:pPr>
    </w:p>
    <w:p>
      <w:pPr>
        <w:spacing w:before="0"/>
        <w:ind w:left="402" w:right="452" w:firstLine="0"/>
        <w:jc w:val="left"/>
        <w:rPr>
          <w:rFonts w:ascii="Calibri" w:hAnsi="Calibri"/>
          <w:sz w:val="23"/>
        </w:rPr>
      </w:pPr>
      <w:r>
        <w:rPr>
          <w:rFonts w:ascii="Calibri" w:hAnsi="Calibri"/>
          <w:sz w:val="23"/>
        </w:rPr>
        <w:t>Con dicho servicio se ejecuta una de las líneas del Plan Corresponsal relativo al “cuidado en servicios públicos” facilitando un espacio de recursos y trabajo para la mejora integral de los y las menores y para la conciliación de las familias. Existe un total de 30 plazas.</w:t>
      </w:r>
    </w:p>
    <w:p>
      <w:pPr>
        <w:spacing w:after="0"/>
        <w:jc w:val="left"/>
        <w:rPr>
          <w:rFonts w:ascii="Calibri" w:hAnsi="Calibri"/>
          <w:sz w:val="23"/>
        </w:rPr>
        <w:sectPr>
          <w:pgSz w:w="11910" w:h="16840"/>
          <w:pgMar w:header="1217" w:footer="0" w:top="2740" w:bottom="280" w:left="1300" w:right="1440"/>
        </w:sectPr>
      </w:pPr>
    </w:p>
    <w:p>
      <w:pPr>
        <w:pStyle w:val="BodyText"/>
        <w:rPr>
          <w:rFonts w:ascii="Calibri"/>
          <w:sz w:val="20"/>
        </w:rPr>
      </w:pPr>
    </w:p>
    <w:p>
      <w:pPr>
        <w:pStyle w:val="BodyText"/>
        <w:spacing w:before="11"/>
        <w:rPr>
          <w:rFonts w:ascii="Calibri"/>
          <w:sz w:val="19"/>
        </w:rPr>
      </w:pPr>
    </w:p>
    <w:p>
      <w:pPr>
        <w:spacing w:line="259" w:lineRule="auto" w:before="54"/>
        <w:ind w:left="402" w:right="257" w:firstLine="0"/>
        <w:jc w:val="both"/>
        <w:rPr>
          <w:rFonts w:ascii="Calibri" w:hAnsi="Calibri"/>
          <w:b/>
          <w:sz w:val="23"/>
        </w:rPr>
      </w:pPr>
      <w:r>
        <w:rPr>
          <w:rFonts w:ascii="Calibri" w:hAnsi="Calibri"/>
          <w:sz w:val="23"/>
        </w:rPr>
        <w:t>Por otro lado, se asegura la educación, alimentación y la debida atención y desarrollo integral de los y las menores del municipio de Tías, </w:t>
      </w:r>
      <w:r>
        <w:rPr>
          <w:rFonts w:ascii="Calibri" w:hAnsi="Calibri"/>
          <w:b/>
          <w:sz w:val="23"/>
        </w:rPr>
        <w:t>por medio del apoyo a las unidades familiares</w:t>
      </w:r>
      <w:r>
        <w:rPr>
          <w:rFonts w:ascii="Calibri" w:hAnsi="Calibri"/>
          <w:b/>
          <w:spacing w:val="-15"/>
          <w:sz w:val="23"/>
        </w:rPr>
        <w:t> </w:t>
      </w:r>
      <w:r>
        <w:rPr>
          <w:rFonts w:ascii="Calibri" w:hAnsi="Calibri"/>
          <w:b/>
          <w:sz w:val="23"/>
        </w:rPr>
        <w:t>que</w:t>
      </w:r>
      <w:r>
        <w:rPr>
          <w:rFonts w:ascii="Calibri" w:hAnsi="Calibri"/>
          <w:b/>
          <w:spacing w:val="-18"/>
          <w:sz w:val="23"/>
        </w:rPr>
        <w:t> </w:t>
      </w:r>
      <w:r>
        <w:rPr>
          <w:rFonts w:ascii="Calibri" w:hAnsi="Calibri"/>
          <w:b/>
          <w:sz w:val="23"/>
        </w:rPr>
        <w:t>necesitan</w:t>
      </w:r>
      <w:r>
        <w:rPr>
          <w:rFonts w:ascii="Calibri" w:hAnsi="Calibri"/>
          <w:b/>
          <w:spacing w:val="-14"/>
          <w:sz w:val="23"/>
        </w:rPr>
        <w:t> </w:t>
      </w:r>
      <w:r>
        <w:rPr>
          <w:rFonts w:ascii="Calibri" w:hAnsi="Calibri"/>
          <w:b/>
          <w:sz w:val="23"/>
        </w:rPr>
        <w:t>ser</w:t>
      </w:r>
      <w:r>
        <w:rPr>
          <w:rFonts w:ascii="Calibri" w:hAnsi="Calibri"/>
          <w:b/>
          <w:spacing w:val="-14"/>
          <w:sz w:val="23"/>
        </w:rPr>
        <w:t> </w:t>
      </w:r>
      <w:r>
        <w:rPr>
          <w:rFonts w:ascii="Calibri" w:hAnsi="Calibri"/>
          <w:b/>
          <w:sz w:val="23"/>
        </w:rPr>
        <w:t>auxiliadas</w:t>
      </w:r>
      <w:r>
        <w:rPr>
          <w:rFonts w:ascii="Calibri" w:hAnsi="Calibri"/>
          <w:b/>
          <w:spacing w:val="-15"/>
          <w:sz w:val="23"/>
        </w:rPr>
        <w:t> </w:t>
      </w:r>
      <w:r>
        <w:rPr>
          <w:rFonts w:ascii="Calibri" w:hAnsi="Calibri"/>
          <w:b/>
          <w:sz w:val="23"/>
        </w:rPr>
        <w:t>en</w:t>
      </w:r>
      <w:r>
        <w:rPr>
          <w:rFonts w:ascii="Calibri" w:hAnsi="Calibri"/>
          <w:b/>
          <w:spacing w:val="-14"/>
          <w:sz w:val="23"/>
        </w:rPr>
        <w:t> </w:t>
      </w:r>
      <w:r>
        <w:rPr>
          <w:rFonts w:ascii="Calibri" w:hAnsi="Calibri"/>
          <w:b/>
          <w:sz w:val="23"/>
        </w:rPr>
        <w:t>sus</w:t>
      </w:r>
      <w:r>
        <w:rPr>
          <w:rFonts w:ascii="Calibri" w:hAnsi="Calibri"/>
          <w:b/>
          <w:spacing w:val="-15"/>
          <w:sz w:val="23"/>
        </w:rPr>
        <w:t> </w:t>
      </w:r>
      <w:r>
        <w:rPr>
          <w:rFonts w:ascii="Calibri" w:hAnsi="Calibri"/>
          <w:b/>
          <w:sz w:val="23"/>
        </w:rPr>
        <w:t>tareas</w:t>
      </w:r>
      <w:r>
        <w:rPr>
          <w:rFonts w:ascii="Calibri" w:hAnsi="Calibri"/>
          <w:b/>
          <w:spacing w:val="-15"/>
          <w:sz w:val="23"/>
        </w:rPr>
        <w:t> </w:t>
      </w:r>
      <w:r>
        <w:rPr>
          <w:rFonts w:ascii="Calibri" w:hAnsi="Calibri"/>
          <w:b/>
          <w:sz w:val="23"/>
        </w:rPr>
        <w:t>parentales</w:t>
      </w:r>
      <w:r>
        <w:rPr>
          <w:rFonts w:ascii="Calibri" w:hAnsi="Calibri"/>
          <w:b/>
          <w:spacing w:val="-14"/>
          <w:sz w:val="23"/>
        </w:rPr>
        <w:t> </w:t>
      </w:r>
      <w:r>
        <w:rPr>
          <w:rFonts w:ascii="Calibri" w:hAnsi="Calibri"/>
          <w:b/>
          <w:sz w:val="23"/>
        </w:rPr>
        <w:t>de</w:t>
      </w:r>
      <w:r>
        <w:rPr>
          <w:rFonts w:ascii="Calibri" w:hAnsi="Calibri"/>
          <w:b/>
          <w:spacing w:val="-18"/>
          <w:sz w:val="23"/>
        </w:rPr>
        <w:t> </w:t>
      </w:r>
      <w:r>
        <w:rPr>
          <w:rFonts w:ascii="Calibri" w:hAnsi="Calibri"/>
          <w:b/>
          <w:sz w:val="23"/>
        </w:rPr>
        <w:t>protección</w:t>
      </w:r>
      <w:r>
        <w:rPr>
          <w:rFonts w:ascii="Calibri" w:hAnsi="Calibri"/>
          <w:b/>
          <w:spacing w:val="-17"/>
          <w:sz w:val="23"/>
        </w:rPr>
        <w:t> </w:t>
      </w:r>
      <w:r>
        <w:rPr>
          <w:rFonts w:ascii="Calibri" w:hAnsi="Calibri"/>
          <w:b/>
          <w:sz w:val="23"/>
        </w:rPr>
        <w:t>y</w:t>
      </w:r>
      <w:r>
        <w:rPr>
          <w:rFonts w:ascii="Calibri" w:hAnsi="Calibri"/>
          <w:b/>
          <w:spacing w:val="-14"/>
          <w:sz w:val="23"/>
        </w:rPr>
        <w:t> </w:t>
      </w:r>
      <w:r>
        <w:rPr>
          <w:rFonts w:ascii="Calibri" w:hAnsi="Calibri"/>
          <w:b/>
          <w:sz w:val="23"/>
        </w:rPr>
        <w:t>educación, a fin de que puedan afrontar el cuidado de sus hijos e hijas en condiciones de normalización</w:t>
      </w:r>
      <w:r>
        <w:rPr>
          <w:rFonts w:ascii="Calibri" w:hAnsi="Calibri"/>
          <w:b/>
          <w:spacing w:val="-4"/>
          <w:sz w:val="23"/>
        </w:rPr>
        <w:t> </w:t>
      </w:r>
      <w:r>
        <w:rPr>
          <w:rFonts w:ascii="Calibri" w:hAnsi="Calibri"/>
          <w:b/>
          <w:sz w:val="23"/>
        </w:rPr>
        <w:t>social.</w:t>
      </w:r>
      <w:r>
        <w:rPr>
          <w:rFonts w:ascii="Calibri" w:hAnsi="Calibri"/>
          <w:b/>
          <w:spacing w:val="-3"/>
          <w:sz w:val="23"/>
        </w:rPr>
        <w:t> </w:t>
      </w:r>
      <w:r>
        <w:rPr>
          <w:rFonts w:ascii="Calibri" w:hAnsi="Calibri"/>
          <w:b/>
          <w:sz w:val="23"/>
        </w:rPr>
        <w:t>La</w:t>
      </w:r>
      <w:r>
        <w:rPr>
          <w:rFonts w:ascii="Calibri" w:hAnsi="Calibri"/>
          <w:b/>
          <w:spacing w:val="-5"/>
          <w:sz w:val="23"/>
        </w:rPr>
        <w:t> </w:t>
      </w:r>
      <w:r>
        <w:rPr>
          <w:rFonts w:ascii="Calibri" w:hAnsi="Calibri"/>
          <w:b/>
          <w:sz w:val="23"/>
        </w:rPr>
        <w:t>vía</w:t>
      </w:r>
      <w:r>
        <w:rPr>
          <w:rFonts w:ascii="Calibri" w:hAnsi="Calibri"/>
          <w:b/>
          <w:spacing w:val="-5"/>
          <w:sz w:val="23"/>
        </w:rPr>
        <w:t> </w:t>
      </w:r>
      <w:r>
        <w:rPr>
          <w:rFonts w:ascii="Calibri" w:hAnsi="Calibri"/>
          <w:b/>
          <w:sz w:val="23"/>
        </w:rPr>
        <w:t>de</w:t>
      </w:r>
      <w:r>
        <w:rPr>
          <w:rFonts w:ascii="Calibri" w:hAnsi="Calibri"/>
          <w:b/>
          <w:spacing w:val="-5"/>
          <w:sz w:val="23"/>
        </w:rPr>
        <w:t> </w:t>
      </w:r>
      <w:r>
        <w:rPr>
          <w:rFonts w:ascii="Calibri" w:hAnsi="Calibri"/>
          <w:b/>
          <w:sz w:val="23"/>
        </w:rPr>
        <w:t>entrada</w:t>
      </w:r>
      <w:r>
        <w:rPr>
          <w:rFonts w:ascii="Calibri" w:hAnsi="Calibri"/>
          <w:b/>
          <w:spacing w:val="-5"/>
          <w:sz w:val="23"/>
        </w:rPr>
        <w:t> </w:t>
      </w:r>
      <w:r>
        <w:rPr>
          <w:rFonts w:ascii="Calibri" w:hAnsi="Calibri"/>
          <w:b/>
          <w:sz w:val="23"/>
        </w:rPr>
        <w:t>es</w:t>
      </w:r>
      <w:r>
        <w:rPr>
          <w:rFonts w:ascii="Calibri" w:hAnsi="Calibri"/>
          <w:b/>
          <w:spacing w:val="-5"/>
          <w:sz w:val="23"/>
        </w:rPr>
        <w:t> </w:t>
      </w:r>
      <w:r>
        <w:rPr>
          <w:rFonts w:ascii="Calibri" w:hAnsi="Calibri"/>
          <w:b/>
          <w:sz w:val="23"/>
        </w:rPr>
        <w:t>la</w:t>
      </w:r>
      <w:r>
        <w:rPr>
          <w:rFonts w:ascii="Calibri" w:hAnsi="Calibri"/>
          <w:b/>
          <w:spacing w:val="-5"/>
          <w:sz w:val="23"/>
        </w:rPr>
        <w:t> </w:t>
      </w:r>
      <w:r>
        <w:rPr>
          <w:rFonts w:ascii="Calibri" w:hAnsi="Calibri"/>
          <w:b/>
          <w:sz w:val="23"/>
        </w:rPr>
        <w:t>valoración</w:t>
      </w:r>
      <w:r>
        <w:rPr>
          <w:rFonts w:ascii="Calibri" w:hAnsi="Calibri"/>
          <w:b/>
          <w:spacing w:val="-6"/>
          <w:sz w:val="23"/>
        </w:rPr>
        <w:t> </w:t>
      </w:r>
      <w:r>
        <w:rPr>
          <w:rFonts w:ascii="Calibri" w:hAnsi="Calibri"/>
          <w:b/>
          <w:sz w:val="23"/>
        </w:rPr>
        <w:t>del</w:t>
      </w:r>
      <w:r>
        <w:rPr>
          <w:rFonts w:ascii="Calibri" w:hAnsi="Calibri"/>
          <w:b/>
          <w:spacing w:val="-3"/>
          <w:sz w:val="23"/>
        </w:rPr>
        <w:t> </w:t>
      </w:r>
      <w:r>
        <w:rPr>
          <w:rFonts w:ascii="Calibri" w:hAnsi="Calibri"/>
          <w:b/>
          <w:sz w:val="23"/>
        </w:rPr>
        <w:t>Servicio</w:t>
      </w:r>
      <w:r>
        <w:rPr>
          <w:rFonts w:ascii="Calibri" w:hAnsi="Calibri"/>
          <w:b/>
          <w:spacing w:val="-6"/>
          <w:sz w:val="23"/>
        </w:rPr>
        <w:t> </w:t>
      </w:r>
      <w:r>
        <w:rPr>
          <w:rFonts w:ascii="Calibri" w:hAnsi="Calibri"/>
          <w:b/>
          <w:sz w:val="23"/>
        </w:rPr>
        <w:t>de</w:t>
      </w:r>
      <w:r>
        <w:rPr>
          <w:rFonts w:ascii="Calibri" w:hAnsi="Calibri"/>
          <w:b/>
          <w:spacing w:val="-5"/>
          <w:sz w:val="23"/>
        </w:rPr>
        <w:t> </w:t>
      </w:r>
      <w:r>
        <w:rPr>
          <w:rFonts w:ascii="Calibri" w:hAnsi="Calibri"/>
          <w:b/>
          <w:sz w:val="23"/>
        </w:rPr>
        <w:t>Menores</w:t>
      </w:r>
      <w:r>
        <w:rPr>
          <w:rFonts w:ascii="Calibri" w:hAnsi="Calibri"/>
          <w:b/>
          <w:spacing w:val="-5"/>
          <w:sz w:val="23"/>
        </w:rPr>
        <w:t> </w:t>
      </w:r>
      <w:r>
        <w:rPr>
          <w:rFonts w:ascii="Calibri" w:hAnsi="Calibri"/>
          <w:b/>
          <w:sz w:val="23"/>
        </w:rPr>
        <w:t>y</w:t>
      </w:r>
      <w:r>
        <w:rPr>
          <w:rFonts w:ascii="Calibri" w:hAnsi="Calibri"/>
          <w:b/>
          <w:spacing w:val="-3"/>
          <w:sz w:val="23"/>
        </w:rPr>
        <w:t> </w:t>
      </w:r>
      <w:r>
        <w:rPr>
          <w:rFonts w:ascii="Calibri" w:hAnsi="Calibri"/>
          <w:b/>
          <w:sz w:val="23"/>
        </w:rPr>
        <w:t>Familia.</w:t>
      </w:r>
    </w:p>
    <w:p>
      <w:pPr>
        <w:pStyle w:val="BodyText"/>
        <w:rPr>
          <w:rFonts w:ascii="Calibri"/>
          <w:b/>
          <w:sz w:val="22"/>
        </w:rPr>
      </w:pPr>
    </w:p>
    <w:p>
      <w:pPr>
        <w:pStyle w:val="BodyText"/>
        <w:spacing w:before="6"/>
        <w:rPr>
          <w:rFonts w:ascii="Calibri"/>
          <w:b/>
          <w:sz w:val="28"/>
        </w:rPr>
      </w:pPr>
    </w:p>
    <w:p>
      <w:pPr>
        <w:spacing w:before="0"/>
        <w:ind w:left="402" w:right="0" w:firstLine="0"/>
        <w:jc w:val="left"/>
        <w:rPr>
          <w:rFonts w:ascii="Calibri"/>
          <w:b/>
          <w:sz w:val="23"/>
        </w:rPr>
      </w:pPr>
      <w:r>
        <w:rPr>
          <w:rFonts w:ascii="Calibri"/>
          <w:b/>
          <w:sz w:val="23"/>
        </w:rPr>
        <w:t>SERVICIO DE MENORES Y FAMILIA</w:t>
      </w:r>
    </w:p>
    <w:p>
      <w:pPr>
        <w:spacing w:before="0"/>
        <w:ind w:left="402" w:right="1215" w:firstLine="0"/>
        <w:jc w:val="left"/>
        <w:rPr>
          <w:rFonts w:ascii="Calibri" w:hAnsi="Calibri"/>
          <w:b/>
          <w:sz w:val="23"/>
        </w:rPr>
      </w:pPr>
      <w:r>
        <w:rPr>
          <w:rFonts w:ascii="Calibri" w:hAnsi="Calibri"/>
          <w:sz w:val="23"/>
        </w:rPr>
        <w:t>Conformado por 1 trabajadora social, 1 psicóloga y 1 pedagoga. De septiembre a diciembre 2025 hemos contado con una nueva trabajadora social (funcionaria). </w:t>
      </w:r>
      <w:r>
        <w:rPr>
          <w:rFonts w:ascii="Calibri" w:hAnsi="Calibri"/>
          <w:b/>
          <w:sz w:val="23"/>
        </w:rPr>
        <w:t>Sus funciones principales:</w:t>
      </w:r>
    </w:p>
    <w:p>
      <w:pPr>
        <w:pStyle w:val="ListParagraph"/>
        <w:numPr>
          <w:ilvl w:val="0"/>
          <w:numId w:val="11"/>
        </w:numPr>
        <w:tabs>
          <w:tab w:pos="631" w:val="left" w:leader="none"/>
        </w:tabs>
        <w:spacing w:line="240" w:lineRule="auto" w:before="0" w:after="0"/>
        <w:ind w:left="402" w:right="290" w:firstLine="0"/>
        <w:jc w:val="left"/>
        <w:rPr>
          <w:rFonts w:ascii="Calibri" w:hAnsi="Calibri"/>
          <w:sz w:val="23"/>
        </w:rPr>
      </w:pPr>
      <w:r>
        <w:rPr>
          <w:rFonts w:ascii="Calibri" w:hAnsi="Calibri"/>
          <w:b/>
          <w:sz w:val="23"/>
        </w:rPr>
        <w:t>Apoyo a la familia: </w:t>
      </w:r>
      <w:r>
        <w:rPr>
          <w:rFonts w:ascii="Calibri" w:hAnsi="Calibri"/>
          <w:sz w:val="23"/>
        </w:rPr>
        <w:t>recurso preventivo prioritario se establecerán programas de apoyo a la familia, destinados a cubrir las necesidades básicas de los menores y  mejorar su entorno familiar, con el objeto de garantizar su derecho a permanecer en el mismo en condiciones que permitan su desarrollo</w:t>
      </w:r>
      <w:r>
        <w:rPr>
          <w:rFonts w:ascii="Calibri" w:hAnsi="Calibri"/>
          <w:spacing w:val="-6"/>
          <w:sz w:val="23"/>
        </w:rPr>
        <w:t> </w:t>
      </w:r>
      <w:r>
        <w:rPr>
          <w:rFonts w:ascii="Calibri" w:hAnsi="Calibri"/>
          <w:sz w:val="23"/>
        </w:rPr>
        <w:t>integral.</w:t>
      </w:r>
    </w:p>
    <w:p>
      <w:pPr>
        <w:pStyle w:val="ListParagraph"/>
        <w:numPr>
          <w:ilvl w:val="0"/>
          <w:numId w:val="11"/>
        </w:numPr>
        <w:tabs>
          <w:tab w:pos="631" w:val="left" w:leader="none"/>
        </w:tabs>
        <w:spacing w:line="240" w:lineRule="auto" w:before="0" w:after="0"/>
        <w:ind w:left="402" w:right="336" w:firstLine="0"/>
        <w:jc w:val="left"/>
        <w:rPr>
          <w:rFonts w:ascii="Calibri" w:hAnsi="Calibri"/>
          <w:sz w:val="23"/>
        </w:rPr>
      </w:pPr>
      <w:r>
        <w:rPr>
          <w:rFonts w:ascii="Calibri" w:hAnsi="Calibri"/>
          <w:b/>
          <w:sz w:val="23"/>
        </w:rPr>
        <w:t>Detección de situaciones de riesgo y desamparo</w:t>
      </w:r>
      <w:r>
        <w:rPr>
          <w:rFonts w:ascii="Calibri" w:hAnsi="Calibri"/>
          <w:sz w:val="23"/>
        </w:rPr>
        <w:t>, mantener un contacto directo con los entornos sociofamiliares, realizar los estudios, recogida de datos e investigaciones que se determinen en los respectivos planes y programas de atención, así como ejecutar o promover las actuaciones precisas para concienciar a la población de la necesidad de comunicar y denunciar la existencia de factores de riesgo o de situaciones de desamparo que afecten a los</w:t>
      </w:r>
      <w:r>
        <w:rPr>
          <w:rFonts w:ascii="Calibri" w:hAnsi="Calibri"/>
          <w:spacing w:val="-2"/>
          <w:sz w:val="23"/>
        </w:rPr>
        <w:t> </w:t>
      </w:r>
      <w:r>
        <w:rPr>
          <w:rFonts w:ascii="Calibri" w:hAnsi="Calibri"/>
          <w:sz w:val="23"/>
        </w:rPr>
        <w:t>menores.</w:t>
      </w:r>
    </w:p>
    <w:p>
      <w:pPr>
        <w:pStyle w:val="ListParagraph"/>
        <w:numPr>
          <w:ilvl w:val="0"/>
          <w:numId w:val="11"/>
        </w:numPr>
        <w:tabs>
          <w:tab w:pos="631" w:val="left" w:leader="none"/>
        </w:tabs>
        <w:spacing w:line="240" w:lineRule="auto" w:before="195" w:after="0"/>
        <w:ind w:left="630" w:right="0" w:hanging="229"/>
        <w:jc w:val="left"/>
        <w:rPr>
          <w:rFonts w:ascii="Calibri" w:hAnsi="Calibri"/>
          <w:b/>
          <w:sz w:val="23"/>
        </w:rPr>
      </w:pPr>
      <w:r>
        <w:rPr>
          <w:rFonts w:ascii="Calibri" w:hAnsi="Calibri"/>
          <w:b/>
          <w:sz w:val="23"/>
        </w:rPr>
        <w:t>Coordinación estrecha con diferentes recursos sociales, escolares, sanitarios,</w:t>
      </w:r>
      <w:r>
        <w:rPr>
          <w:rFonts w:ascii="Calibri" w:hAnsi="Calibri"/>
          <w:b/>
          <w:spacing w:val="-27"/>
          <w:sz w:val="23"/>
        </w:rPr>
        <w:t> </w:t>
      </w:r>
      <w:r>
        <w:rPr>
          <w:rFonts w:ascii="Calibri" w:hAnsi="Calibri"/>
          <w:b/>
          <w:sz w:val="23"/>
        </w:rPr>
        <w:t>Cuerpos</w:t>
      </w:r>
    </w:p>
    <w:p>
      <w:pPr>
        <w:spacing w:before="0"/>
        <w:ind w:left="402" w:right="0" w:firstLine="0"/>
        <w:jc w:val="left"/>
        <w:rPr>
          <w:rFonts w:ascii="Calibri" w:hAnsi="Calibri"/>
          <w:b/>
          <w:sz w:val="23"/>
        </w:rPr>
      </w:pPr>
      <w:r>
        <w:rPr>
          <w:rFonts w:ascii="Calibri" w:hAnsi="Calibri"/>
          <w:b/>
          <w:sz w:val="23"/>
        </w:rPr>
        <w:t>de Seguridad del Estado, etc … para detección y/o seguimiento de menores y familias.</w:t>
      </w:r>
    </w:p>
    <w:p>
      <w:pPr>
        <w:pStyle w:val="ListParagraph"/>
        <w:numPr>
          <w:ilvl w:val="0"/>
          <w:numId w:val="11"/>
        </w:numPr>
        <w:tabs>
          <w:tab w:pos="630" w:val="left" w:leader="none"/>
        </w:tabs>
        <w:spacing w:line="240" w:lineRule="auto" w:before="197" w:after="0"/>
        <w:ind w:left="629" w:right="0" w:hanging="228"/>
        <w:jc w:val="left"/>
        <w:rPr>
          <w:rFonts w:ascii="Calibri"/>
          <w:sz w:val="23"/>
        </w:rPr>
      </w:pPr>
      <w:r>
        <w:rPr>
          <w:rFonts w:ascii="Calibri"/>
          <w:sz w:val="23"/>
        </w:rPr>
        <w:t>Otros</w:t>
      </w:r>
    </w:p>
    <w:p>
      <w:pPr>
        <w:pStyle w:val="BodyText"/>
        <w:rPr>
          <w:rFonts w:ascii="Calibri"/>
          <w:sz w:val="22"/>
        </w:rPr>
      </w:pPr>
    </w:p>
    <w:p>
      <w:pPr>
        <w:spacing w:before="187"/>
        <w:ind w:left="402" w:right="0" w:firstLine="0"/>
        <w:jc w:val="left"/>
        <w:rPr>
          <w:rFonts w:ascii="Calibri"/>
          <w:b/>
          <w:sz w:val="23"/>
        </w:rPr>
      </w:pPr>
      <w:r>
        <w:rPr>
          <w:rFonts w:ascii="Calibri"/>
          <w:b/>
          <w:sz w:val="23"/>
        </w:rPr>
        <w:t>EDUCAR EN FAMILIA</w:t>
      </w:r>
    </w:p>
    <w:p>
      <w:pPr>
        <w:spacing w:before="1"/>
        <w:ind w:left="402" w:right="443" w:firstLine="0"/>
        <w:jc w:val="left"/>
        <w:rPr>
          <w:rFonts w:ascii="Calibri" w:hAnsi="Calibri"/>
          <w:sz w:val="23"/>
        </w:rPr>
      </w:pPr>
      <w:r>
        <w:rPr>
          <w:rFonts w:ascii="Calibri" w:hAnsi="Calibri"/>
          <w:sz w:val="23"/>
        </w:rPr>
        <w:t>Educar en familia se ha desarrollado en el Ayuntamiento de Tías a través de la Consejería de Educación del Gobierno de Canarias realizando diferentes charlas a padres del municipio de Tías.</w:t>
      </w:r>
    </w:p>
    <w:p>
      <w:pPr>
        <w:pStyle w:val="BodyText"/>
        <w:spacing w:before="12"/>
        <w:rPr>
          <w:rFonts w:ascii="Calibri"/>
          <w:sz w:val="22"/>
        </w:rPr>
      </w:pPr>
    </w:p>
    <w:p>
      <w:pPr>
        <w:spacing w:before="0"/>
        <w:ind w:left="402" w:right="0" w:firstLine="0"/>
        <w:jc w:val="left"/>
        <w:rPr>
          <w:rFonts w:ascii="Calibri" w:hAnsi="Calibri"/>
          <w:b/>
          <w:sz w:val="23"/>
        </w:rPr>
      </w:pPr>
      <w:r>
        <w:rPr>
          <w:rFonts w:ascii="Calibri" w:hAnsi="Calibri"/>
          <w:b/>
          <w:sz w:val="23"/>
        </w:rPr>
        <w:t>PACTO DE ESTADO CONTRA LA VIOLENCIA DE GÉNERO</w:t>
      </w:r>
    </w:p>
    <w:p>
      <w:pPr>
        <w:spacing w:before="0"/>
        <w:ind w:left="402" w:right="438" w:firstLine="0"/>
        <w:jc w:val="left"/>
        <w:rPr>
          <w:rFonts w:ascii="Calibri" w:hAnsi="Calibri"/>
          <w:sz w:val="23"/>
        </w:rPr>
      </w:pPr>
      <w:r>
        <w:rPr>
          <w:rFonts w:ascii="Calibri" w:hAnsi="Calibri"/>
          <w:sz w:val="23"/>
        </w:rPr>
        <w:t>Se ha desarrollado el siguiente proyecto en el marco del programa Pacto de Estado contra la Violencia de Género; </w:t>
      </w:r>
      <w:r>
        <w:rPr>
          <w:rFonts w:ascii="Calibri" w:hAnsi="Calibri"/>
          <w:b/>
          <w:sz w:val="23"/>
        </w:rPr>
        <w:t>“CANCHA IGUALITARIA: PREVENCIÓN Y SENSIBILIZACIÓN SOBRE LA VIOLENCIA DE GÉNERO DESDE EL DEPORTE” </w:t>
      </w:r>
      <w:r>
        <w:rPr>
          <w:rFonts w:ascii="Calibri" w:hAnsi="Calibri"/>
          <w:sz w:val="23"/>
        </w:rPr>
        <w:t>desde el </w:t>
      </w:r>
      <w:r>
        <w:rPr>
          <w:rFonts w:ascii="Calibri" w:hAnsi="Calibri"/>
          <w:b/>
          <w:sz w:val="23"/>
        </w:rPr>
        <w:t>mes de febrero hasta el mes de mayo del 2025</w:t>
      </w:r>
      <w:r>
        <w:rPr>
          <w:rFonts w:ascii="Calibri" w:hAnsi="Calibri"/>
          <w:sz w:val="23"/>
        </w:rPr>
        <w:t>, habiéndose ejecutado por parte del Club Deportivo Magec Tías.</w:t>
      </w:r>
    </w:p>
    <w:p>
      <w:pPr>
        <w:spacing w:before="1"/>
        <w:ind w:left="402" w:right="0" w:firstLine="0"/>
        <w:jc w:val="left"/>
        <w:rPr>
          <w:rFonts w:ascii="Calibri"/>
          <w:sz w:val="23"/>
        </w:rPr>
      </w:pPr>
      <w:r>
        <w:rPr>
          <w:rFonts w:ascii="Calibri"/>
          <w:b/>
          <w:sz w:val="23"/>
        </w:rPr>
        <w:t>E</w:t>
      </w:r>
      <w:r>
        <w:rPr>
          <w:rFonts w:ascii="Calibri"/>
          <w:sz w:val="23"/>
        </w:rPr>
        <w:t>l proyecto ha sido financiado con Fondos del Pacto de Estado en Material de Violencia de</w:t>
      </w:r>
    </w:p>
    <w:p>
      <w:pPr>
        <w:spacing w:before="0"/>
        <w:ind w:left="402" w:right="0" w:firstLine="0"/>
        <w:jc w:val="left"/>
        <w:rPr>
          <w:rFonts w:ascii="Calibri" w:hAnsi="Calibri"/>
          <w:sz w:val="23"/>
        </w:rPr>
      </w:pPr>
      <w:r>
        <w:rPr>
          <w:rFonts w:ascii="Calibri" w:hAnsi="Calibri"/>
          <w:sz w:val="23"/>
        </w:rPr>
        <w:t>Género para los Ayuntamientos para el año 2024, con un presupuesto de 13.735.65€.</w:t>
      </w:r>
    </w:p>
    <w:p>
      <w:pPr>
        <w:spacing w:after="0"/>
        <w:jc w:val="left"/>
        <w:rPr>
          <w:rFonts w:ascii="Calibri" w:hAnsi="Calibri"/>
          <w:sz w:val="23"/>
        </w:rPr>
        <w:sectPr>
          <w:pgSz w:w="11910" w:h="16840"/>
          <w:pgMar w:header="1217" w:footer="0" w:top="2740" w:bottom="280" w:left="1300" w:right="1440"/>
        </w:sectPr>
      </w:pPr>
    </w:p>
    <w:p>
      <w:pPr>
        <w:pStyle w:val="BodyText"/>
        <w:rPr>
          <w:rFonts w:ascii="Calibri"/>
          <w:sz w:val="20"/>
        </w:rPr>
      </w:pPr>
    </w:p>
    <w:p>
      <w:pPr>
        <w:pStyle w:val="BodyText"/>
        <w:spacing w:before="11"/>
        <w:rPr>
          <w:rFonts w:ascii="Calibri"/>
          <w:sz w:val="19"/>
        </w:rPr>
      </w:pPr>
    </w:p>
    <w:p>
      <w:pPr>
        <w:spacing w:before="54"/>
        <w:ind w:left="402" w:right="790" w:firstLine="0"/>
        <w:jc w:val="both"/>
        <w:rPr>
          <w:rFonts w:ascii="Calibri" w:hAnsi="Calibri"/>
          <w:sz w:val="23"/>
        </w:rPr>
      </w:pPr>
      <w:r>
        <w:rPr>
          <w:rFonts w:ascii="Calibri" w:hAnsi="Calibri"/>
          <w:sz w:val="23"/>
        </w:rPr>
        <w:t>A través del proyecto se ha ejecutado acciones de sensibilización para prevención de violencia de género fomentando valores de igualdad a través de la práctica deportiva y formativa a las categorías de cadete (10-14 años) así como categoría infantil ( 10-11 años).</w:t>
      </w:r>
    </w:p>
    <w:p>
      <w:pPr>
        <w:spacing w:before="1"/>
        <w:ind w:left="402" w:right="275" w:firstLine="0"/>
        <w:jc w:val="left"/>
        <w:rPr>
          <w:rFonts w:ascii="Calibri" w:hAnsi="Calibri"/>
          <w:sz w:val="23"/>
        </w:rPr>
      </w:pPr>
      <w:r>
        <w:rPr>
          <w:rFonts w:ascii="Calibri" w:hAnsi="Calibri"/>
          <w:sz w:val="23"/>
        </w:rPr>
        <w:t>Del mismo modo, se ha desarrollado formación específica para entrenadores del club en la detección de conductas de riesgo y promoción de la igualdad, así como la implicación activa de familias y entorno deportivo.</w:t>
      </w:r>
    </w:p>
    <w:p>
      <w:pPr>
        <w:spacing w:line="259" w:lineRule="auto" w:before="0"/>
        <w:ind w:left="402" w:right="259" w:firstLine="0"/>
        <w:jc w:val="both"/>
        <w:rPr>
          <w:rFonts w:ascii="Calibri" w:hAnsi="Calibri"/>
          <w:sz w:val="23"/>
        </w:rPr>
      </w:pPr>
      <w:r>
        <w:rPr>
          <w:rFonts w:ascii="Calibri" w:hAnsi="Calibri"/>
          <w:sz w:val="23"/>
        </w:rPr>
        <w:t>También se han desarrollado actividades transversales como encuentros intergeneracionales entre jugadores/as de diferentes edades, y creación de pancartas con mensajes de igualdad exhibidas en los diferentes partidos del club deportivo</w:t>
      </w:r>
    </w:p>
    <w:p>
      <w:pPr>
        <w:pStyle w:val="BodyText"/>
        <w:rPr>
          <w:rFonts w:ascii="Calibri"/>
          <w:sz w:val="22"/>
        </w:rPr>
      </w:pPr>
    </w:p>
    <w:p>
      <w:pPr>
        <w:pStyle w:val="BodyText"/>
        <w:spacing w:before="7"/>
        <w:rPr>
          <w:rFonts w:ascii="Calibri"/>
          <w:sz w:val="28"/>
        </w:rPr>
      </w:pPr>
    </w:p>
    <w:p>
      <w:pPr>
        <w:tabs>
          <w:tab w:pos="3714" w:val="left" w:leader="none"/>
        </w:tabs>
        <w:spacing w:line="259" w:lineRule="auto" w:before="0"/>
        <w:ind w:left="402" w:right="263" w:firstLine="0"/>
        <w:jc w:val="left"/>
        <w:rPr>
          <w:b/>
          <w:sz w:val="28"/>
        </w:rPr>
      </w:pPr>
      <w:r>
        <w:rPr>
          <w:b/>
          <w:sz w:val="28"/>
          <w:u w:val="thick"/>
        </w:rPr>
        <w:t>TERCERA</w:t>
      </w:r>
      <w:r>
        <w:rPr>
          <w:b/>
          <w:spacing w:val="45"/>
          <w:sz w:val="28"/>
          <w:u w:val="thick"/>
        </w:rPr>
        <w:t> </w:t>
      </w:r>
      <w:r>
        <w:rPr>
          <w:b/>
          <w:sz w:val="28"/>
          <w:u w:val="thick"/>
        </w:rPr>
        <w:t>PARTE</w:t>
      </w:r>
      <w:r>
        <w:rPr>
          <w:b/>
          <w:spacing w:val="44"/>
          <w:sz w:val="28"/>
          <w:u w:val="thick"/>
        </w:rPr>
        <w:t> </w:t>
      </w:r>
      <w:r>
        <w:rPr>
          <w:b/>
          <w:sz w:val="28"/>
          <w:u w:val="thick"/>
        </w:rPr>
        <w:t>BIS.</w:t>
        <w:tab/>
        <w:t>OTRAS ACTIVIDADES/ACTUACIONES</w:t>
      </w:r>
      <w:r>
        <w:rPr>
          <w:b/>
          <w:sz w:val="28"/>
        </w:rPr>
        <w:t> </w:t>
      </w:r>
      <w:r>
        <w:rPr>
          <w:b/>
          <w:sz w:val="28"/>
          <w:u w:val="thick"/>
        </w:rPr>
        <w:t>CORPORATIVAS</w:t>
      </w:r>
    </w:p>
    <w:p>
      <w:pPr>
        <w:pStyle w:val="BodyText"/>
        <w:spacing w:before="158"/>
        <w:ind w:left="402"/>
      </w:pPr>
      <w:r>
        <w:rPr/>
        <w:t>( Información facilitada por distintas unidades y concejalías)</w:t>
      </w:r>
    </w:p>
    <w:p>
      <w:pPr>
        <w:pStyle w:val="BodyText"/>
        <w:spacing w:line="259" w:lineRule="auto" w:before="183"/>
        <w:ind w:left="402"/>
      </w:pPr>
      <w:r>
        <w:rPr/>
        <w:t>Los</w:t>
      </w:r>
      <w:r>
        <w:rPr>
          <w:spacing w:val="-14"/>
        </w:rPr>
        <w:t> </w:t>
      </w:r>
      <w:r>
        <w:rPr/>
        <w:t>datos</w:t>
      </w:r>
      <w:r>
        <w:rPr>
          <w:spacing w:val="-14"/>
        </w:rPr>
        <w:t> </w:t>
      </w:r>
      <w:r>
        <w:rPr/>
        <w:t>reflejados</w:t>
      </w:r>
      <w:r>
        <w:rPr>
          <w:spacing w:val="-15"/>
        </w:rPr>
        <w:t> </w:t>
      </w:r>
      <w:r>
        <w:rPr/>
        <w:t>son</w:t>
      </w:r>
      <w:r>
        <w:rPr>
          <w:spacing w:val="-13"/>
        </w:rPr>
        <w:t> </w:t>
      </w:r>
      <w:r>
        <w:rPr/>
        <w:t>datos</w:t>
      </w:r>
      <w:r>
        <w:rPr>
          <w:spacing w:val="-14"/>
        </w:rPr>
        <w:t> </w:t>
      </w:r>
      <w:r>
        <w:rPr/>
        <w:t>extraídos,</w:t>
      </w:r>
      <w:r>
        <w:rPr>
          <w:spacing w:val="-14"/>
        </w:rPr>
        <w:t> </w:t>
      </w:r>
      <w:r>
        <w:rPr/>
        <w:t>íntegros</w:t>
      </w:r>
      <w:r>
        <w:rPr>
          <w:spacing w:val="-14"/>
        </w:rPr>
        <w:t> </w:t>
      </w:r>
      <w:r>
        <w:rPr/>
        <w:t>o</w:t>
      </w:r>
      <w:r>
        <w:rPr>
          <w:spacing w:val="-17"/>
        </w:rPr>
        <w:t> </w:t>
      </w:r>
      <w:r>
        <w:rPr/>
        <w:t>en</w:t>
      </w:r>
      <w:r>
        <w:rPr>
          <w:spacing w:val="-14"/>
        </w:rPr>
        <w:t> </w:t>
      </w:r>
      <w:r>
        <w:rPr/>
        <w:t>extracto,</w:t>
      </w:r>
      <w:r>
        <w:rPr>
          <w:spacing w:val="-13"/>
        </w:rPr>
        <w:t> </w:t>
      </w:r>
      <w:r>
        <w:rPr/>
        <w:t>de</w:t>
      </w:r>
      <w:r>
        <w:rPr>
          <w:spacing w:val="-15"/>
        </w:rPr>
        <w:t> </w:t>
      </w:r>
      <w:r>
        <w:rPr/>
        <w:t>los</w:t>
      </w:r>
      <w:r>
        <w:rPr>
          <w:spacing w:val="-14"/>
        </w:rPr>
        <w:t> </w:t>
      </w:r>
      <w:r>
        <w:rPr/>
        <w:t>datos</w:t>
      </w:r>
      <w:r>
        <w:rPr>
          <w:spacing w:val="-14"/>
        </w:rPr>
        <w:t> </w:t>
      </w:r>
      <w:r>
        <w:rPr/>
        <w:t>suministrados por la Alcaldía y diversas</w:t>
      </w:r>
      <w:r>
        <w:rPr>
          <w:spacing w:val="-2"/>
        </w:rPr>
        <w:t> </w:t>
      </w:r>
      <w:r>
        <w:rPr/>
        <w:t>concejalías</w:t>
      </w:r>
    </w:p>
    <w:p>
      <w:pPr>
        <w:pStyle w:val="BodyText"/>
        <w:rPr>
          <w:sz w:val="26"/>
        </w:rPr>
      </w:pPr>
    </w:p>
    <w:p>
      <w:pPr>
        <w:pStyle w:val="BodyText"/>
        <w:spacing w:before="6"/>
        <w:rPr>
          <w:sz w:val="27"/>
        </w:rPr>
      </w:pPr>
    </w:p>
    <w:p>
      <w:pPr>
        <w:spacing w:before="1"/>
        <w:ind w:left="402" w:right="0" w:firstLine="0"/>
        <w:jc w:val="left"/>
        <w:rPr>
          <w:b/>
          <w:sz w:val="24"/>
        </w:rPr>
      </w:pPr>
      <w:r>
        <w:rPr>
          <w:b/>
          <w:sz w:val="24"/>
          <w:u w:val="thick"/>
        </w:rPr>
        <w:t>OBRAS E INVERSIONES DEL EJERCICIO 2025</w:t>
      </w:r>
    </w:p>
    <w:p>
      <w:pPr>
        <w:pStyle w:val="BodyText"/>
        <w:rPr>
          <w:b/>
          <w:sz w:val="20"/>
        </w:rPr>
      </w:pPr>
    </w:p>
    <w:p>
      <w:pPr>
        <w:pStyle w:val="BodyText"/>
        <w:spacing w:before="5"/>
        <w:rPr>
          <w:b/>
          <w:sz w:val="16"/>
        </w:rPr>
      </w:pPr>
      <w:r>
        <w:rPr/>
        <w:drawing>
          <wp:anchor distT="0" distB="0" distL="0" distR="0" allowOverlap="1" layoutInCell="1" locked="0" behindDoc="0" simplePos="0" relativeHeight="32">
            <wp:simplePos x="0" y="0"/>
            <wp:positionH relativeFrom="page">
              <wp:posOffset>1080135</wp:posOffset>
            </wp:positionH>
            <wp:positionV relativeFrom="paragraph">
              <wp:posOffset>145009</wp:posOffset>
            </wp:positionV>
            <wp:extent cx="5376690" cy="3053143"/>
            <wp:effectExtent l="0" t="0" r="0" b="0"/>
            <wp:wrapTopAndBottom/>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7" cstate="print"/>
                    <a:stretch>
                      <a:fillRect/>
                    </a:stretch>
                  </pic:blipFill>
                  <pic:spPr>
                    <a:xfrm>
                      <a:off x="0" y="0"/>
                      <a:ext cx="5376690" cy="3053143"/>
                    </a:xfrm>
                    <a:prstGeom prst="rect">
                      <a:avLst/>
                    </a:prstGeom>
                  </pic:spPr>
                </pic:pic>
              </a:graphicData>
            </a:graphic>
          </wp:anchor>
        </w:drawing>
      </w:r>
    </w:p>
    <w:p>
      <w:pPr>
        <w:spacing w:after="0"/>
        <w:rPr>
          <w:sz w:val="16"/>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90113" cy="3241167"/>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8" cstate="print"/>
                    <a:stretch>
                      <a:fillRect/>
                    </a:stretch>
                  </pic:blipFill>
                  <pic:spPr>
                    <a:xfrm>
                      <a:off x="0" y="0"/>
                      <a:ext cx="5390113" cy="3241167"/>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2"/>
        </w:rPr>
      </w:pPr>
      <w:r>
        <w:rPr/>
        <w:drawing>
          <wp:anchor distT="0" distB="0" distL="0" distR="0" allowOverlap="1" layoutInCell="1" locked="0" behindDoc="0" simplePos="0" relativeHeight="33">
            <wp:simplePos x="0" y="0"/>
            <wp:positionH relativeFrom="page">
              <wp:posOffset>1080135</wp:posOffset>
            </wp:positionH>
            <wp:positionV relativeFrom="paragraph">
              <wp:posOffset>118286</wp:posOffset>
            </wp:positionV>
            <wp:extent cx="5354674" cy="2806922"/>
            <wp:effectExtent l="0" t="0" r="0" b="0"/>
            <wp:wrapTopAndBottom/>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9" cstate="print"/>
                    <a:stretch>
                      <a:fillRect/>
                    </a:stretch>
                  </pic:blipFill>
                  <pic:spPr>
                    <a:xfrm>
                      <a:off x="0" y="0"/>
                      <a:ext cx="5354674" cy="2806922"/>
                    </a:xfrm>
                    <a:prstGeom prst="rect">
                      <a:avLst/>
                    </a:prstGeom>
                  </pic:spPr>
                </pic:pic>
              </a:graphicData>
            </a:graphic>
          </wp:anchor>
        </w:drawing>
      </w:r>
    </w:p>
    <w:p>
      <w:pPr>
        <w:spacing w:after="0"/>
        <w:rPr>
          <w:sz w:val="12"/>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86440" cy="3043237"/>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70" cstate="print"/>
                    <a:stretch>
                      <a:fillRect/>
                    </a:stretch>
                  </pic:blipFill>
                  <pic:spPr>
                    <a:xfrm>
                      <a:off x="0" y="0"/>
                      <a:ext cx="5386440" cy="3043237"/>
                    </a:xfrm>
                    <a:prstGeom prst="rect">
                      <a:avLst/>
                    </a:prstGeom>
                  </pic:spPr>
                </pic:pic>
              </a:graphicData>
            </a:graphic>
          </wp:inline>
        </w:drawing>
      </w:r>
      <w:r>
        <w:rPr>
          <w:sz w:val="20"/>
        </w:rPr>
      </w:r>
    </w:p>
    <w:p>
      <w:pPr>
        <w:pStyle w:val="BodyText"/>
        <w:spacing w:before="5"/>
        <w:rPr>
          <w:b/>
          <w:sz w:val="13"/>
        </w:rPr>
      </w:pPr>
      <w:r>
        <w:rPr/>
        <w:drawing>
          <wp:anchor distT="0" distB="0" distL="0" distR="0" allowOverlap="1" layoutInCell="1" locked="0" behindDoc="0" simplePos="0" relativeHeight="34">
            <wp:simplePos x="0" y="0"/>
            <wp:positionH relativeFrom="page">
              <wp:posOffset>1080135</wp:posOffset>
            </wp:positionH>
            <wp:positionV relativeFrom="paragraph">
              <wp:posOffset>123317</wp:posOffset>
            </wp:positionV>
            <wp:extent cx="5359200" cy="3245643"/>
            <wp:effectExtent l="0" t="0" r="0" b="0"/>
            <wp:wrapTopAndBottom/>
            <wp:docPr id="129" name="image65.jpeg"/>
            <wp:cNvGraphicFramePr>
              <a:graphicFrameLocks noChangeAspect="1"/>
            </wp:cNvGraphicFramePr>
            <a:graphic>
              <a:graphicData uri="http://schemas.openxmlformats.org/drawingml/2006/picture">
                <pic:pic>
                  <pic:nvPicPr>
                    <pic:cNvPr id="130" name="image65.jpeg"/>
                    <pic:cNvPicPr/>
                  </pic:nvPicPr>
                  <pic:blipFill>
                    <a:blip r:embed="rId71" cstate="print"/>
                    <a:stretch>
                      <a:fillRect/>
                    </a:stretch>
                  </pic:blipFill>
                  <pic:spPr>
                    <a:xfrm>
                      <a:off x="0" y="0"/>
                      <a:ext cx="5359200" cy="3245643"/>
                    </a:xfrm>
                    <a:prstGeom prst="rect">
                      <a:avLst/>
                    </a:prstGeom>
                  </pic:spPr>
                </pic:pic>
              </a:graphicData>
            </a:graphic>
          </wp:anchor>
        </w:drawing>
      </w:r>
    </w:p>
    <w:p>
      <w:pPr>
        <w:spacing w:after="0"/>
        <w:rPr>
          <w:sz w:val="13"/>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422442" cy="2889504"/>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2" cstate="print"/>
                    <a:stretch>
                      <a:fillRect/>
                    </a:stretch>
                  </pic:blipFill>
                  <pic:spPr>
                    <a:xfrm>
                      <a:off x="0" y="0"/>
                      <a:ext cx="5422442" cy="2889504"/>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7"/>
        <w:rPr>
          <w:b/>
          <w:sz w:val="10"/>
        </w:rPr>
      </w:pPr>
      <w:r>
        <w:rPr/>
        <w:drawing>
          <wp:anchor distT="0" distB="0" distL="0" distR="0" allowOverlap="1" layoutInCell="1" locked="0" behindDoc="0" simplePos="0" relativeHeight="35">
            <wp:simplePos x="0" y="0"/>
            <wp:positionH relativeFrom="page">
              <wp:posOffset>1080135</wp:posOffset>
            </wp:positionH>
            <wp:positionV relativeFrom="paragraph">
              <wp:posOffset>102259</wp:posOffset>
            </wp:positionV>
            <wp:extent cx="5310563" cy="3774471"/>
            <wp:effectExtent l="0" t="0" r="0" b="0"/>
            <wp:wrapTopAndBottom/>
            <wp:docPr id="133" name="image67.jpeg"/>
            <wp:cNvGraphicFramePr>
              <a:graphicFrameLocks noChangeAspect="1"/>
            </wp:cNvGraphicFramePr>
            <a:graphic>
              <a:graphicData uri="http://schemas.openxmlformats.org/drawingml/2006/picture">
                <pic:pic>
                  <pic:nvPicPr>
                    <pic:cNvPr id="134" name="image67.jpeg"/>
                    <pic:cNvPicPr/>
                  </pic:nvPicPr>
                  <pic:blipFill>
                    <a:blip r:embed="rId73" cstate="print"/>
                    <a:stretch>
                      <a:fillRect/>
                    </a:stretch>
                  </pic:blipFill>
                  <pic:spPr>
                    <a:xfrm>
                      <a:off x="0" y="0"/>
                      <a:ext cx="5310563" cy="3774471"/>
                    </a:xfrm>
                    <a:prstGeom prst="rect">
                      <a:avLst/>
                    </a:prstGeom>
                  </pic:spPr>
                </pic:pic>
              </a:graphicData>
            </a:graphic>
          </wp:anchor>
        </w:drawing>
      </w:r>
    </w:p>
    <w:p>
      <w:pPr>
        <w:spacing w:after="0"/>
        <w:rPr>
          <w:sz w:val="10"/>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77292" cy="2491740"/>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74" cstate="print"/>
                    <a:stretch>
                      <a:fillRect/>
                    </a:stretch>
                  </pic:blipFill>
                  <pic:spPr>
                    <a:xfrm>
                      <a:off x="0" y="0"/>
                      <a:ext cx="5377292" cy="2491740"/>
                    </a:xfrm>
                    <a:prstGeom prst="rect">
                      <a:avLst/>
                    </a:prstGeom>
                  </pic:spPr>
                </pic:pic>
              </a:graphicData>
            </a:graphic>
          </wp:inline>
        </w:drawing>
      </w:r>
      <w:r>
        <w:rPr>
          <w:sz w:val="20"/>
        </w:rPr>
      </w:r>
    </w:p>
    <w:p>
      <w:pPr>
        <w:pStyle w:val="BodyText"/>
        <w:spacing w:before="10"/>
        <w:rPr>
          <w:b/>
          <w:sz w:val="13"/>
        </w:rPr>
      </w:pPr>
      <w:r>
        <w:rPr/>
        <w:drawing>
          <wp:anchor distT="0" distB="0" distL="0" distR="0" allowOverlap="1" layoutInCell="1" locked="0" behindDoc="0" simplePos="0" relativeHeight="36">
            <wp:simplePos x="0" y="0"/>
            <wp:positionH relativeFrom="page">
              <wp:posOffset>1080135</wp:posOffset>
            </wp:positionH>
            <wp:positionV relativeFrom="paragraph">
              <wp:posOffset>126492</wp:posOffset>
            </wp:positionV>
            <wp:extent cx="5349224" cy="2764059"/>
            <wp:effectExtent l="0" t="0" r="0" b="0"/>
            <wp:wrapTopAndBottom/>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5" cstate="print"/>
                    <a:stretch>
                      <a:fillRect/>
                    </a:stretch>
                  </pic:blipFill>
                  <pic:spPr>
                    <a:xfrm>
                      <a:off x="0" y="0"/>
                      <a:ext cx="5349224" cy="2764059"/>
                    </a:xfrm>
                    <a:prstGeom prst="rect">
                      <a:avLst/>
                    </a:prstGeom>
                  </pic:spPr>
                </pic:pic>
              </a:graphicData>
            </a:graphic>
          </wp:anchor>
        </w:drawing>
      </w:r>
    </w:p>
    <w:p>
      <w:pPr>
        <w:spacing w:after="0"/>
        <w:rPr>
          <w:sz w:val="13"/>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400040" cy="2528316"/>
            <wp:effectExtent l="0" t="0" r="0" b="0"/>
            <wp:docPr id="139" name="image70.jpeg"/>
            <wp:cNvGraphicFramePr>
              <a:graphicFrameLocks noChangeAspect="1"/>
            </wp:cNvGraphicFramePr>
            <a:graphic>
              <a:graphicData uri="http://schemas.openxmlformats.org/drawingml/2006/picture">
                <pic:pic>
                  <pic:nvPicPr>
                    <pic:cNvPr id="140" name="image70.jpeg"/>
                    <pic:cNvPicPr/>
                  </pic:nvPicPr>
                  <pic:blipFill>
                    <a:blip r:embed="rId76" cstate="print"/>
                    <a:stretch>
                      <a:fillRect/>
                    </a:stretch>
                  </pic:blipFill>
                  <pic:spPr>
                    <a:xfrm>
                      <a:off x="0" y="0"/>
                      <a:ext cx="5400040" cy="2528316"/>
                    </a:xfrm>
                    <a:prstGeom prst="rect">
                      <a:avLst/>
                    </a:prstGeom>
                  </pic:spPr>
                </pic:pic>
              </a:graphicData>
            </a:graphic>
          </wp:inline>
        </w:drawing>
      </w:r>
      <w:r>
        <w:rPr>
          <w:sz w:val="20"/>
        </w:rPr>
      </w:r>
    </w:p>
    <w:p>
      <w:pPr>
        <w:pStyle w:val="BodyText"/>
        <w:rPr>
          <w:b/>
          <w:sz w:val="13"/>
        </w:rPr>
      </w:pPr>
      <w:r>
        <w:rPr/>
        <w:drawing>
          <wp:anchor distT="0" distB="0" distL="0" distR="0" allowOverlap="1" layoutInCell="1" locked="0" behindDoc="0" simplePos="0" relativeHeight="37">
            <wp:simplePos x="0" y="0"/>
            <wp:positionH relativeFrom="page">
              <wp:posOffset>1080135</wp:posOffset>
            </wp:positionH>
            <wp:positionV relativeFrom="paragraph">
              <wp:posOffset>120269</wp:posOffset>
            </wp:positionV>
            <wp:extent cx="5378022" cy="2652331"/>
            <wp:effectExtent l="0" t="0" r="0" b="0"/>
            <wp:wrapTopAndBottom/>
            <wp:docPr id="141" name="image71.jpeg"/>
            <wp:cNvGraphicFramePr>
              <a:graphicFrameLocks noChangeAspect="1"/>
            </wp:cNvGraphicFramePr>
            <a:graphic>
              <a:graphicData uri="http://schemas.openxmlformats.org/drawingml/2006/picture">
                <pic:pic>
                  <pic:nvPicPr>
                    <pic:cNvPr id="142" name="image71.jpeg"/>
                    <pic:cNvPicPr/>
                  </pic:nvPicPr>
                  <pic:blipFill>
                    <a:blip r:embed="rId77" cstate="print"/>
                    <a:stretch>
                      <a:fillRect/>
                    </a:stretch>
                  </pic:blipFill>
                  <pic:spPr>
                    <a:xfrm>
                      <a:off x="0" y="0"/>
                      <a:ext cx="5378022" cy="2652331"/>
                    </a:xfrm>
                    <a:prstGeom prst="rect">
                      <a:avLst/>
                    </a:prstGeom>
                  </pic:spPr>
                </pic:pic>
              </a:graphicData>
            </a:graphic>
          </wp:anchor>
        </w:drawing>
      </w:r>
    </w:p>
    <w:p>
      <w:pPr>
        <w:spacing w:after="0"/>
        <w:rPr>
          <w:sz w:val="13"/>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58981" cy="2809684"/>
            <wp:effectExtent l="0" t="0" r="0" b="0"/>
            <wp:docPr id="143" name="image72.jpeg"/>
            <wp:cNvGraphicFramePr>
              <a:graphicFrameLocks noChangeAspect="1"/>
            </wp:cNvGraphicFramePr>
            <a:graphic>
              <a:graphicData uri="http://schemas.openxmlformats.org/drawingml/2006/picture">
                <pic:pic>
                  <pic:nvPicPr>
                    <pic:cNvPr id="144" name="image72.jpeg"/>
                    <pic:cNvPicPr/>
                  </pic:nvPicPr>
                  <pic:blipFill>
                    <a:blip r:embed="rId78" cstate="print"/>
                    <a:stretch>
                      <a:fillRect/>
                    </a:stretch>
                  </pic:blipFill>
                  <pic:spPr>
                    <a:xfrm>
                      <a:off x="0" y="0"/>
                      <a:ext cx="5358981" cy="2809684"/>
                    </a:xfrm>
                    <a:prstGeom prst="rect">
                      <a:avLst/>
                    </a:prstGeom>
                  </pic:spPr>
                </pic:pic>
              </a:graphicData>
            </a:graphic>
          </wp:inline>
        </w:drawing>
      </w:r>
      <w:r>
        <w:rPr>
          <w:sz w:val="20"/>
        </w:rPr>
      </w:r>
    </w:p>
    <w:p>
      <w:pPr>
        <w:pStyle w:val="BodyText"/>
        <w:spacing w:before="3"/>
        <w:rPr>
          <w:b/>
          <w:sz w:val="16"/>
        </w:rPr>
      </w:pPr>
      <w:r>
        <w:rPr/>
        <w:drawing>
          <wp:anchor distT="0" distB="0" distL="0" distR="0" allowOverlap="1" layoutInCell="1" locked="0" behindDoc="0" simplePos="0" relativeHeight="38">
            <wp:simplePos x="0" y="0"/>
            <wp:positionH relativeFrom="page">
              <wp:posOffset>1080135</wp:posOffset>
            </wp:positionH>
            <wp:positionV relativeFrom="paragraph">
              <wp:posOffset>143763</wp:posOffset>
            </wp:positionV>
            <wp:extent cx="5408076" cy="1110996"/>
            <wp:effectExtent l="0" t="0" r="0" b="0"/>
            <wp:wrapTopAndBottom/>
            <wp:docPr id="145" name="image73.jpeg"/>
            <wp:cNvGraphicFramePr>
              <a:graphicFrameLocks noChangeAspect="1"/>
            </wp:cNvGraphicFramePr>
            <a:graphic>
              <a:graphicData uri="http://schemas.openxmlformats.org/drawingml/2006/picture">
                <pic:pic>
                  <pic:nvPicPr>
                    <pic:cNvPr id="146" name="image73.jpeg"/>
                    <pic:cNvPicPr/>
                  </pic:nvPicPr>
                  <pic:blipFill>
                    <a:blip r:embed="rId79" cstate="print"/>
                    <a:stretch>
                      <a:fillRect/>
                    </a:stretch>
                  </pic:blipFill>
                  <pic:spPr>
                    <a:xfrm>
                      <a:off x="0" y="0"/>
                      <a:ext cx="5408076" cy="111099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10"/>
        <w:rPr>
          <w:b/>
        </w:rPr>
      </w:pPr>
    </w:p>
    <w:p>
      <w:pPr>
        <w:spacing w:before="90"/>
        <w:ind w:left="402" w:right="0" w:firstLine="0"/>
        <w:jc w:val="left"/>
        <w:rPr>
          <w:b/>
          <w:sz w:val="24"/>
        </w:rPr>
      </w:pPr>
      <w:r>
        <w:rPr>
          <w:b/>
          <w:sz w:val="24"/>
        </w:rPr>
        <w:t>JUVENTUD</w:t>
      </w:r>
    </w:p>
    <w:p>
      <w:pPr>
        <w:pStyle w:val="BodyText"/>
        <w:spacing w:before="182"/>
        <w:ind w:left="402"/>
      </w:pPr>
      <w:r>
        <w:rPr/>
        <w:t>Actividades realizadas por la concejalía de Juventud.</w:t>
      </w:r>
    </w:p>
    <w:p>
      <w:pPr>
        <w:pStyle w:val="ListParagraph"/>
        <w:numPr>
          <w:ilvl w:val="0"/>
          <w:numId w:val="12"/>
        </w:numPr>
        <w:tabs>
          <w:tab w:pos="547" w:val="left" w:leader="none"/>
        </w:tabs>
        <w:spacing w:line="240" w:lineRule="auto" w:before="22" w:after="0"/>
        <w:ind w:left="546" w:right="0" w:hanging="145"/>
        <w:jc w:val="left"/>
        <w:rPr>
          <w:sz w:val="24"/>
        </w:rPr>
      </w:pPr>
      <w:r>
        <w:rPr>
          <w:sz w:val="24"/>
        </w:rPr>
        <w:t>excursión al Karting de San Bartolomé.</w:t>
      </w:r>
    </w:p>
    <w:p>
      <w:pPr>
        <w:pStyle w:val="ListParagraph"/>
        <w:numPr>
          <w:ilvl w:val="0"/>
          <w:numId w:val="12"/>
        </w:numPr>
        <w:tabs>
          <w:tab w:pos="547" w:val="left" w:leader="none"/>
        </w:tabs>
        <w:spacing w:line="240" w:lineRule="auto" w:before="21" w:after="0"/>
        <w:ind w:left="546" w:right="0" w:hanging="145"/>
        <w:jc w:val="left"/>
        <w:rPr>
          <w:sz w:val="24"/>
        </w:rPr>
      </w:pPr>
      <w:r>
        <w:rPr>
          <w:sz w:val="24"/>
        </w:rPr>
        <w:t>Tias Street</w:t>
      </w:r>
      <w:r>
        <w:rPr>
          <w:spacing w:val="-2"/>
          <w:sz w:val="24"/>
        </w:rPr>
        <w:t> </w:t>
      </w:r>
      <w:r>
        <w:rPr>
          <w:sz w:val="24"/>
        </w:rPr>
        <w:t>Fest</w:t>
      </w:r>
    </w:p>
    <w:p>
      <w:pPr>
        <w:pStyle w:val="ListParagraph"/>
        <w:numPr>
          <w:ilvl w:val="0"/>
          <w:numId w:val="12"/>
        </w:numPr>
        <w:tabs>
          <w:tab w:pos="547" w:val="left" w:leader="none"/>
        </w:tabs>
        <w:spacing w:line="240" w:lineRule="auto" w:before="22" w:after="0"/>
        <w:ind w:left="546" w:right="0" w:hanging="145"/>
        <w:jc w:val="left"/>
        <w:rPr>
          <w:sz w:val="24"/>
        </w:rPr>
      </w:pPr>
      <w:r>
        <w:rPr>
          <w:sz w:val="24"/>
        </w:rPr>
        <w:t>Encuentro con asociaciones y sector juvenil en Conecta</w:t>
      </w:r>
      <w:r>
        <w:rPr>
          <w:spacing w:val="1"/>
          <w:sz w:val="24"/>
        </w:rPr>
        <w:t> </w:t>
      </w:r>
      <w:r>
        <w:rPr>
          <w:sz w:val="24"/>
        </w:rPr>
        <w:t>Tías</w:t>
      </w:r>
    </w:p>
    <w:p>
      <w:pPr>
        <w:pStyle w:val="ListParagraph"/>
        <w:numPr>
          <w:ilvl w:val="0"/>
          <w:numId w:val="12"/>
        </w:numPr>
        <w:tabs>
          <w:tab w:pos="547" w:val="left" w:leader="none"/>
        </w:tabs>
        <w:spacing w:line="240" w:lineRule="auto" w:before="21" w:after="0"/>
        <w:ind w:left="546" w:right="0" w:hanging="145"/>
        <w:jc w:val="left"/>
        <w:rPr>
          <w:sz w:val="24"/>
        </w:rPr>
      </w:pPr>
      <w:r>
        <w:rPr>
          <w:sz w:val="24"/>
        </w:rPr>
        <w:t>plantación arboles IES Tías.</w:t>
      </w:r>
    </w:p>
    <w:p>
      <w:pPr>
        <w:pStyle w:val="ListParagraph"/>
        <w:numPr>
          <w:ilvl w:val="0"/>
          <w:numId w:val="12"/>
        </w:numPr>
        <w:tabs>
          <w:tab w:pos="547" w:val="left" w:leader="none"/>
        </w:tabs>
        <w:spacing w:line="240" w:lineRule="auto" w:before="24" w:after="0"/>
        <w:ind w:left="546" w:right="0" w:hanging="145"/>
        <w:jc w:val="left"/>
        <w:rPr>
          <w:sz w:val="24"/>
        </w:rPr>
      </w:pPr>
      <w:r>
        <w:rPr>
          <w:sz w:val="24"/>
        </w:rPr>
        <w:t>Dia Internacional de la Juventud</w:t>
      </w:r>
    </w:p>
    <w:p>
      <w:pPr>
        <w:pStyle w:val="ListParagraph"/>
        <w:numPr>
          <w:ilvl w:val="0"/>
          <w:numId w:val="12"/>
        </w:numPr>
        <w:tabs>
          <w:tab w:pos="616" w:val="left" w:leader="none"/>
        </w:tabs>
        <w:spacing w:line="240" w:lineRule="auto" w:before="23" w:after="0"/>
        <w:ind w:left="615" w:right="0" w:hanging="214"/>
        <w:jc w:val="left"/>
        <w:rPr>
          <w:sz w:val="24"/>
        </w:rPr>
      </w:pPr>
      <w:r>
        <w:rPr>
          <w:sz w:val="24"/>
        </w:rPr>
        <w:t>Celebración</w:t>
      </w:r>
      <w:r>
        <w:rPr>
          <w:spacing w:val="8"/>
          <w:sz w:val="24"/>
        </w:rPr>
        <w:t> </w:t>
      </w:r>
      <w:r>
        <w:rPr>
          <w:sz w:val="24"/>
        </w:rPr>
        <w:t>de</w:t>
      </w:r>
      <w:r>
        <w:rPr>
          <w:spacing w:val="7"/>
          <w:sz w:val="24"/>
        </w:rPr>
        <w:t> </w:t>
      </w:r>
      <w:r>
        <w:rPr>
          <w:sz w:val="24"/>
        </w:rPr>
        <w:t>16</w:t>
      </w:r>
      <w:r>
        <w:rPr>
          <w:spacing w:val="8"/>
          <w:sz w:val="24"/>
        </w:rPr>
        <w:t> </w:t>
      </w:r>
      <w:r>
        <w:rPr>
          <w:sz w:val="24"/>
        </w:rPr>
        <w:t>torneos</w:t>
      </w:r>
      <w:r>
        <w:rPr>
          <w:spacing w:val="8"/>
          <w:sz w:val="24"/>
        </w:rPr>
        <w:t> </w:t>
      </w:r>
      <w:r>
        <w:rPr>
          <w:sz w:val="24"/>
        </w:rPr>
        <w:t>juveniles</w:t>
      </w:r>
      <w:r>
        <w:rPr>
          <w:spacing w:val="8"/>
          <w:sz w:val="24"/>
        </w:rPr>
        <w:t> </w:t>
      </w:r>
      <w:r>
        <w:rPr>
          <w:sz w:val="24"/>
        </w:rPr>
        <w:t>(dardos,</w:t>
      </w:r>
      <w:r>
        <w:rPr>
          <w:spacing w:val="11"/>
          <w:sz w:val="24"/>
        </w:rPr>
        <w:t> </w:t>
      </w:r>
      <w:r>
        <w:rPr>
          <w:sz w:val="24"/>
        </w:rPr>
        <w:t>billar,</w:t>
      </w:r>
      <w:r>
        <w:rPr>
          <w:spacing w:val="8"/>
          <w:sz w:val="24"/>
        </w:rPr>
        <w:t> </w:t>
      </w:r>
      <w:r>
        <w:rPr>
          <w:sz w:val="24"/>
        </w:rPr>
        <w:t>FIFA,</w:t>
      </w:r>
      <w:r>
        <w:rPr>
          <w:spacing w:val="7"/>
          <w:sz w:val="24"/>
        </w:rPr>
        <w:t> </w:t>
      </w:r>
      <w:r>
        <w:rPr>
          <w:sz w:val="24"/>
        </w:rPr>
        <w:t>futbolín,</w:t>
      </w:r>
      <w:r>
        <w:rPr>
          <w:spacing w:val="10"/>
          <w:sz w:val="24"/>
        </w:rPr>
        <w:t> </w:t>
      </w:r>
      <w:r>
        <w:rPr>
          <w:sz w:val="24"/>
        </w:rPr>
        <w:t>Ronda,</w:t>
      </w:r>
      <w:r>
        <w:rPr>
          <w:spacing w:val="8"/>
          <w:sz w:val="24"/>
        </w:rPr>
        <w:t> </w:t>
      </w:r>
      <w:r>
        <w:rPr>
          <w:sz w:val="24"/>
        </w:rPr>
        <w:t>3x3</w:t>
      </w:r>
    </w:p>
    <w:p>
      <w:pPr>
        <w:pStyle w:val="BodyText"/>
        <w:spacing w:before="21"/>
        <w:ind w:left="402"/>
      </w:pPr>
      <w:r>
        <w:rPr/>
        <w:t>baloncesto, Futbol mixto).</w:t>
      </w:r>
    </w:p>
    <w:p>
      <w:pPr>
        <w:pStyle w:val="ListParagraph"/>
        <w:numPr>
          <w:ilvl w:val="0"/>
          <w:numId w:val="12"/>
        </w:numPr>
        <w:tabs>
          <w:tab w:pos="547" w:val="left" w:leader="none"/>
        </w:tabs>
        <w:spacing w:line="240" w:lineRule="auto" w:before="22" w:after="0"/>
        <w:ind w:left="546" w:right="0" w:hanging="145"/>
        <w:jc w:val="left"/>
        <w:rPr>
          <w:sz w:val="24"/>
        </w:rPr>
      </w:pPr>
      <w:r>
        <w:rPr>
          <w:sz w:val="24"/>
        </w:rPr>
        <w:t>Comisión</w:t>
      </w:r>
      <w:r>
        <w:rPr>
          <w:spacing w:val="-2"/>
          <w:sz w:val="24"/>
        </w:rPr>
        <w:t> </w:t>
      </w:r>
      <w:r>
        <w:rPr>
          <w:sz w:val="24"/>
        </w:rPr>
        <w:t>juvenil.</w:t>
      </w:r>
    </w:p>
    <w:p>
      <w:pPr>
        <w:pStyle w:val="ListParagraph"/>
        <w:numPr>
          <w:ilvl w:val="0"/>
          <w:numId w:val="12"/>
        </w:numPr>
        <w:tabs>
          <w:tab w:pos="573" w:val="left" w:leader="none"/>
        </w:tabs>
        <w:spacing w:line="240" w:lineRule="auto" w:before="22" w:after="0"/>
        <w:ind w:left="572" w:right="0" w:hanging="171"/>
        <w:jc w:val="left"/>
        <w:rPr>
          <w:sz w:val="24"/>
        </w:rPr>
      </w:pPr>
      <w:r>
        <w:rPr>
          <w:sz w:val="24"/>
        </w:rPr>
        <w:t>Visitas</w:t>
      </w:r>
      <w:r>
        <w:rPr>
          <w:spacing w:val="25"/>
          <w:sz w:val="24"/>
        </w:rPr>
        <w:t> </w:t>
      </w:r>
      <w:r>
        <w:rPr>
          <w:sz w:val="24"/>
        </w:rPr>
        <w:t>previas</w:t>
      </w:r>
      <w:r>
        <w:rPr>
          <w:spacing w:val="24"/>
          <w:sz w:val="24"/>
        </w:rPr>
        <w:t> </w:t>
      </w:r>
      <w:r>
        <w:rPr>
          <w:sz w:val="24"/>
        </w:rPr>
        <w:t>a</w:t>
      </w:r>
      <w:r>
        <w:rPr>
          <w:spacing w:val="24"/>
          <w:sz w:val="24"/>
        </w:rPr>
        <w:t> </w:t>
      </w:r>
      <w:r>
        <w:rPr>
          <w:sz w:val="24"/>
        </w:rPr>
        <w:t>los</w:t>
      </w:r>
      <w:r>
        <w:rPr>
          <w:spacing w:val="25"/>
          <w:sz w:val="24"/>
        </w:rPr>
        <w:t> </w:t>
      </w:r>
      <w:r>
        <w:rPr>
          <w:sz w:val="24"/>
        </w:rPr>
        <w:t>IES</w:t>
      </w:r>
      <w:r>
        <w:rPr>
          <w:spacing w:val="25"/>
          <w:sz w:val="24"/>
        </w:rPr>
        <w:t> </w:t>
      </w:r>
      <w:r>
        <w:rPr>
          <w:sz w:val="24"/>
        </w:rPr>
        <w:t>Puerto</w:t>
      </w:r>
      <w:r>
        <w:rPr>
          <w:spacing w:val="24"/>
          <w:sz w:val="24"/>
        </w:rPr>
        <w:t> </w:t>
      </w:r>
      <w:r>
        <w:rPr>
          <w:sz w:val="24"/>
        </w:rPr>
        <w:t>del</w:t>
      </w:r>
      <w:r>
        <w:rPr>
          <w:spacing w:val="25"/>
          <w:sz w:val="24"/>
        </w:rPr>
        <w:t> </w:t>
      </w:r>
      <w:r>
        <w:rPr>
          <w:sz w:val="24"/>
        </w:rPr>
        <w:t>Carmen</w:t>
      </w:r>
      <w:r>
        <w:rPr>
          <w:spacing w:val="25"/>
          <w:sz w:val="24"/>
        </w:rPr>
        <w:t> </w:t>
      </w:r>
      <w:r>
        <w:rPr>
          <w:sz w:val="24"/>
        </w:rPr>
        <w:t>y</w:t>
      </w:r>
      <w:r>
        <w:rPr>
          <w:spacing w:val="25"/>
          <w:sz w:val="24"/>
        </w:rPr>
        <w:t> </w:t>
      </w:r>
      <w:r>
        <w:rPr>
          <w:sz w:val="24"/>
        </w:rPr>
        <w:t>Tías</w:t>
      </w:r>
      <w:r>
        <w:rPr>
          <w:spacing w:val="25"/>
          <w:sz w:val="24"/>
        </w:rPr>
        <w:t> </w:t>
      </w:r>
      <w:r>
        <w:rPr>
          <w:sz w:val="24"/>
        </w:rPr>
        <w:t>para</w:t>
      </w:r>
      <w:r>
        <w:rPr>
          <w:spacing w:val="23"/>
          <w:sz w:val="24"/>
        </w:rPr>
        <w:t> </w:t>
      </w:r>
      <w:r>
        <w:rPr>
          <w:sz w:val="24"/>
        </w:rPr>
        <w:t>el</w:t>
      </w:r>
      <w:r>
        <w:rPr>
          <w:spacing w:val="25"/>
          <w:sz w:val="24"/>
        </w:rPr>
        <w:t> </w:t>
      </w:r>
      <w:r>
        <w:rPr>
          <w:sz w:val="24"/>
        </w:rPr>
        <w:t>debate,</w:t>
      </w:r>
      <w:r>
        <w:rPr>
          <w:spacing w:val="24"/>
          <w:sz w:val="24"/>
        </w:rPr>
        <w:t> </w:t>
      </w:r>
      <w:r>
        <w:rPr>
          <w:sz w:val="24"/>
        </w:rPr>
        <w:t>escucha</w:t>
      </w:r>
      <w:r>
        <w:rPr>
          <w:spacing w:val="24"/>
          <w:sz w:val="24"/>
        </w:rPr>
        <w:t> </w:t>
      </w:r>
      <w:r>
        <w:rPr>
          <w:sz w:val="24"/>
        </w:rPr>
        <w:t>activa</w:t>
      </w:r>
      <w:r>
        <w:rPr>
          <w:spacing w:val="24"/>
          <w:sz w:val="24"/>
        </w:rPr>
        <w:t> </w:t>
      </w:r>
      <w:r>
        <w:rPr>
          <w:sz w:val="24"/>
        </w:rPr>
        <w:t>y</w:t>
      </w:r>
    </w:p>
    <w:p>
      <w:pPr>
        <w:pStyle w:val="BodyText"/>
        <w:spacing w:before="21"/>
        <w:ind w:left="402"/>
      </w:pPr>
      <w:r>
        <w:rPr/>
        <w:t>recogida de propuestas juveniles.</w:t>
      </w:r>
    </w:p>
    <w:p>
      <w:pPr>
        <w:pStyle w:val="ListParagraph"/>
        <w:numPr>
          <w:ilvl w:val="0"/>
          <w:numId w:val="12"/>
        </w:numPr>
        <w:tabs>
          <w:tab w:pos="547" w:val="left" w:leader="none"/>
        </w:tabs>
        <w:spacing w:line="240" w:lineRule="auto" w:before="22" w:after="0"/>
        <w:ind w:left="546" w:right="0" w:hanging="145"/>
        <w:jc w:val="left"/>
        <w:rPr>
          <w:sz w:val="24"/>
        </w:rPr>
      </w:pPr>
      <w:r>
        <w:rPr>
          <w:sz w:val="24"/>
        </w:rPr>
        <w:t>Dos encuentros juveniles interinsulares (Fuerteventura y Gran</w:t>
      </w:r>
      <w:r>
        <w:rPr>
          <w:spacing w:val="-8"/>
          <w:sz w:val="24"/>
        </w:rPr>
        <w:t> </w:t>
      </w:r>
      <w:r>
        <w:rPr>
          <w:sz w:val="24"/>
        </w:rPr>
        <w:t>Canaria).</w:t>
      </w:r>
    </w:p>
    <w:p>
      <w:pPr>
        <w:pStyle w:val="ListParagraph"/>
        <w:numPr>
          <w:ilvl w:val="0"/>
          <w:numId w:val="12"/>
        </w:numPr>
        <w:tabs>
          <w:tab w:pos="547" w:val="left" w:leader="none"/>
        </w:tabs>
        <w:spacing w:line="240" w:lineRule="auto" w:before="21" w:after="0"/>
        <w:ind w:left="546" w:right="0" w:hanging="145"/>
        <w:jc w:val="left"/>
        <w:rPr>
          <w:sz w:val="24"/>
        </w:rPr>
      </w:pPr>
      <w:r>
        <w:rPr>
          <w:sz w:val="24"/>
        </w:rPr>
        <w:t>Celebración de Halloween en el Espacio</w:t>
      </w:r>
      <w:r>
        <w:rPr>
          <w:spacing w:val="-1"/>
          <w:sz w:val="24"/>
        </w:rPr>
        <w:t> </w:t>
      </w:r>
      <w:r>
        <w:rPr>
          <w:sz w:val="24"/>
        </w:rPr>
        <w:t>Juvenil</w:t>
      </w:r>
    </w:p>
    <w:p>
      <w:pPr>
        <w:pStyle w:val="ListParagraph"/>
        <w:numPr>
          <w:ilvl w:val="0"/>
          <w:numId w:val="12"/>
        </w:numPr>
        <w:tabs>
          <w:tab w:pos="547" w:val="left" w:leader="none"/>
        </w:tabs>
        <w:spacing w:line="240" w:lineRule="auto" w:before="22" w:after="0"/>
        <w:ind w:left="546" w:right="0" w:hanging="145"/>
        <w:jc w:val="left"/>
        <w:rPr>
          <w:sz w:val="24"/>
        </w:rPr>
      </w:pPr>
      <w:r>
        <w:rPr>
          <w:sz w:val="24"/>
        </w:rPr>
        <w:t>Taller de Baile con Hacomar</w:t>
      </w:r>
      <w:r>
        <w:rPr>
          <w:spacing w:val="-4"/>
          <w:sz w:val="24"/>
        </w:rPr>
        <w:t> </w:t>
      </w:r>
      <w:r>
        <w:rPr>
          <w:sz w:val="24"/>
        </w:rPr>
        <w:t>Arrocha.</w:t>
      </w:r>
    </w:p>
    <w:p>
      <w:pPr>
        <w:spacing w:after="0" w:line="240" w:lineRule="auto"/>
        <w:jc w:val="left"/>
        <w:rPr>
          <w:sz w:val="24"/>
        </w:rPr>
        <w:sectPr>
          <w:pgSz w:w="11910" w:h="16840"/>
          <w:pgMar w:header="1217" w:footer="0" w:top="2740" w:bottom="280" w:left="1300" w:right="1440"/>
        </w:sectPr>
      </w:pPr>
    </w:p>
    <w:p>
      <w:pPr>
        <w:pStyle w:val="BodyText"/>
        <w:rPr>
          <w:sz w:val="20"/>
        </w:rPr>
      </w:pPr>
    </w:p>
    <w:p>
      <w:pPr>
        <w:pStyle w:val="BodyText"/>
        <w:spacing w:before="3"/>
        <w:rPr>
          <w:sz w:val="19"/>
        </w:rPr>
      </w:pPr>
    </w:p>
    <w:p>
      <w:pPr>
        <w:pStyle w:val="ListParagraph"/>
        <w:numPr>
          <w:ilvl w:val="0"/>
          <w:numId w:val="12"/>
        </w:numPr>
        <w:tabs>
          <w:tab w:pos="547" w:val="left" w:leader="none"/>
        </w:tabs>
        <w:spacing w:line="240" w:lineRule="auto" w:before="90" w:after="0"/>
        <w:ind w:left="546" w:right="0" w:hanging="145"/>
        <w:jc w:val="left"/>
        <w:rPr>
          <w:sz w:val="24"/>
        </w:rPr>
      </w:pPr>
      <w:r>
        <w:rPr>
          <w:sz w:val="24"/>
        </w:rPr>
        <w:t>Taller de pole</w:t>
      </w:r>
      <w:r>
        <w:rPr>
          <w:spacing w:val="-3"/>
          <w:sz w:val="24"/>
        </w:rPr>
        <w:t> </w:t>
      </w:r>
      <w:r>
        <w:rPr>
          <w:sz w:val="24"/>
        </w:rPr>
        <w:t>dance.</w:t>
      </w:r>
    </w:p>
    <w:p>
      <w:pPr>
        <w:pStyle w:val="ListParagraph"/>
        <w:numPr>
          <w:ilvl w:val="0"/>
          <w:numId w:val="12"/>
        </w:numPr>
        <w:tabs>
          <w:tab w:pos="547" w:val="left" w:leader="none"/>
        </w:tabs>
        <w:spacing w:line="240" w:lineRule="auto" w:before="21" w:after="0"/>
        <w:ind w:left="546" w:right="0" w:hanging="145"/>
        <w:jc w:val="left"/>
        <w:rPr>
          <w:sz w:val="24"/>
        </w:rPr>
      </w:pPr>
      <w:r>
        <w:rPr>
          <w:sz w:val="24"/>
        </w:rPr>
        <w:t>Batalla de</w:t>
      </w:r>
      <w:r>
        <w:rPr>
          <w:spacing w:val="-3"/>
          <w:sz w:val="24"/>
        </w:rPr>
        <w:t> </w:t>
      </w:r>
      <w:r>
        <w:rPr>
          <w:sz w:val="24"/>
        </w:rPr>
        <w:t>Gallos.</w:t>
      </w:r>
    </w:p>
    <w:p>
      <w:pPr>
        <w:pStyle w:val="ListParagraph"/>
        <w:numPr>
          <w:ilvl w:val="0"/>
          <w:numId w:val="12"/>
        </w:numPr>
        <w:tabs>
          <w:tab w:pos="547" w:val="left" w:leader="none"/>
        </w:tabs>
        <w:spacing w:line="240" w:lineRule="auto" w:before="22" w:after="0"/>
        <w:ind w:left="546" w:right="0" w:hanging="145"/>
        <w:jc w:val="left"/>
        <w:rPr>
          <w:sz w:val="24"/>
        </w:rPr>
      </w:pPr>
      <w:r>
        <w:rPr>
          <w:sz w:val="24"/>
        </w:rPr>
        <w:t>Olimpiadas</w:t>
      </w:r>
      <w:r>
        <w:rPr>
          <w:spacing w:val="-2"/>
          <w:sz w:val="24"/>
        </w:rPr>
        <w:t> </w:t>
      </w:r>
      <w:r>
        <w:rPr>
          <w:sz w:val="24"/>
        </w:rPr>
        <w:t>navideñas.</w:t>
      </w:r>
    </w:p>
    <w:p>
      <w:pPr>
        <w:pStyle w:val="ListParagraph"/>
        <w:numPr>
          <w:ilvl w:val="0"/>
          <w:numId w:val="12"/>
        </w:numPr>
        <w:tabs>
          <w:tab w:pos="547" w:val="left" w:leader="none"/>
        </w:tabs>
        <w:spacing w:line="240" w:lineRule="auto" w:before="22" w:after="0"/>
        <w:ind w:left="546" w:right="0" w:hanging="145"/>
        <w:jc w:val="left"/>
        <w:rPr>
          <w:sz w:val="24"/>
        </w:rPr>
      </w:pPr>
      <w:r>
        <w:rPr>
          <w:sz w:val="24"/>
        </w:rPr>
        <w:t>Taller de</w:t>
      </w:r>
      <w:r>
        <w:rPr>
          <w:spacing w:val="-3"/>
          <w:sz w:val="24"/>
        </w:rPr>
        <w:t> </w:t>
      </w:r>
      <w:r>
        <w:rPr>
          <w:sz w:val="24"/>
        </w:rPr>
        <w:t>galletas.</w:t>
      </w:r>
    </w:p>
    <w:p>
      <w:pPr>
        <w:pStyle w:val="ListParagraph"/>
        <w:numPr>
          <w:ilvl w:val="0"/>
          <w:numId w:val="12"/>
        </w:numPr>
        <w:tabs>
          <w:tab w:pos="547" w:val="left" w:leader="none"/>
        </w:tabs>
        <w:spacing w:line="240" w:lineRule="auto" w:before="21" w:after="0"/>
        <w:ind w:left="546" w:right="0" w:hanging="145"/>
        <w:jc w:val="left"/>
        <w:rPr>
          <w:sz w:val="24"/>
        </w:rPr>
      </w:pPr>
      <w:r>
        <w:rPr>
          <w:sz w:val="24"/>
        </w:rPr>
        <w:t>Fiesta de pre-uvas con ambiente</w:t>
      </w:r>
      <w:r>
        <w:rPr>
          <w:spacing w:val="-2"/>
          <w:sz w:val="24"/>
        </w:rPr>
        <w:t> </w:t>
      </w:r>
      <w:r>
        <w:rPr>
          <w:sz w:val="24"/>
        </w:rPr>
        <w:t>musical.</w:t>
      </w:r>
    </w:p>
    <w:p>
      <w:pPr>
        <w:pStyle w:val="BodyText"/>
        <w:spacing w:before="9"/>
        <w:rPr>
          <w:sz w:val="27"/>
        </w:rPr>
      </w:pPr>
    </w:p>
    <w:p>
      <w:pPr>
        <w:pStyle w:val="Heading4"/>
        <w:spacing w:before="0"/>
      </w:pPr>
      <w:r>
        <w:rPr/>
        <w:t>CEMENTERIO Y VELATORIO</w:t>
      </w:r>
    </w:p>
    <w:p>
      <w:pPr>
        <w:pStyle w:val="ListParagraph"/>
        <w:numPr>
          <w:ilvl w:val="0"/>
          <w:numId w:val="13"/>
        </w:numPr>
        <w:tabs>
          <w:tab w:pos="597" w:val="left" w:leader="none"/>
        </w:tabs>
        <w:spacing w:line="240" w:lineRule="auto" w:before="22" w:after="0"/>
        <w:ind w:left="596" w:right="0" w:hanging="135"/>
        <w:jc w:val="left"/>
        <w:rPr>
          <w:sz w:val="24"/>
        </w:rPr>
      </w:pPr>
      <w:r>
        <w:rPr>
          <w:sz w:val="24"/>
        </w:rPr>
        <w:t>Mantenimiento</w:t>
      </w:r>
      <w:r>
        <w:rPr>
          <w:spacing w:val="-6"/>
          <w:sz w:val="24"/>
        </w:rPr>
        <w:t> </w:t>
      </w:r>
      <w:r>
        <w:rPr>
          <w:sz w:val="24"/>
        </w:rPr>
        <w:t>y</w:t>
      </w:r>
      <w:r>
        <w:rPr>
          <w:spacing w:val="-5"/>
          <w:sz w:val="24"/>
        </w:rPr>
        <w:t> </w:t>
      </w:r>
      <w:r>
        <w:rPr>
          <w:sz w:val="24"/>
        </w:rPr>
        <w:t>mejoras</w:t>
      </w:r>
      <w:r>
        <w:rPr>
          <w:spacing w:val="-6"/>
          <w:sz w:val="24"/>
        </w:rPr>
        <w:t> </w:t>
      </w:r>
      <w:r>
        <w:rPr>
          <w:sz w:val="24"/>
        </w:rPr>
        <w:t>jardines</w:t>
      </w:r>
      <w:r>
        <w:rPr>
          <w:spacing w:val="-3"/>
          <w:sz w:val="24"/>
        </w:rPr>
        <w:t> </w:t>
      </w:r>
      <w:r>
        <w:rPr>
          <w:sz w:val="24"/>
        </w:rPr>
        <w:t>exteriores</w:t>
      </w:r>
      <w:r>
        <w:rPr>
          <w:spacing w:val="-6"/>
          <w:sz w:val="24"/>
        </w:rPr>
        <w:t> </w:t>
      </w:r>
      <w:r>
        <w:rPr>
          <w:sz w:val="24"/>
        </w:rPr>
        <w:t>de</w:t>
      </w:r>
      <w:r>
        <w:rPr>
          <w:spacing w:val="-6"/>
          <w:sz w:val="24"/>
        </w:rPr>
        <w:t> </w:t>
      </w:r>
      <w:r>
        <w:rPr>
          <w:sz w:val="24"/>
        </w:rPr>
        <w:t>los</w:t>
      </w:r>
      <w:r>
        <w:rPr>
          <w:spacing w:val="-6"/>
          <w:sz w:val="24"/>
        </w:rPr>
        <w:t> </w:t>
      </w:r>
      <w:r>
        <w:rPr>
          <w:sz w:val="24"/>
        </w:rPr>
        <w:t>dos</w:t>
      </w:r>
      <w:r>
        <w:rPr>
          <w:spacing w:val="-5"/>
          <w:sz w:val="24"/>
        </w:rPr>
        <w:t> </w:t>
      </w:r>
      <w:r>
        <w:rPr>
          <w:sz w:val="24"/>
        </w:rPr>
        <w:t>cementerios:</w:t>
      </w:r>
      <w:r>
        <w:rPr>
          <w:spacing w:val="-5"/>
          <w:sz w:val="24"/>
        </w:rPr>
        <w:t> </w:t>
      </w:r>
      <w:r>
        <w:rPr>
          <w:sz w:val="24"/>
        </w:rPr>
        <w:t>Tías</w:t>
      </w:r>
      <w:r>
        <w:rPr>
          <w:spacing w:val="-3"/>
          <w:sz w:val="24"/>
        </w:rPr>
        <w:t> </w:t>
      </w:r>
      <w:r>
        <w:rPr>
          <w:sz w:val="24"/>
        </w:rPr>
        <w:t>y</w:t>
      </w:r>
      <w:r>
        <w:rPr>
          <w:spacing w:val="-6"/>
          <w:sz w:val="24"/>
        </w:rPr>
        <w:t> </w:t>
      </w:r>
      <w:r>
        <w:rPr>
          <w:sz w:val="24"/>
        </w:rPr>
        <w:t>Candelaria</w:t>
      </w:r>
    </w:p>
    <w:p>
      <w:pPr>
        <w:pStyle w:val="ListParagraph"/>
        <w:numPr>
          <w:ilvl w:val="0"/>
          <w:numId w:val="13"/>
        </w:numPr>
        <w:tabs>
          <w:tab w:pos="542" w:val="left" w:leader="none"/>
        </w:tabs>
        <w:spacing w:line="240" w:lineRule="auto" w:before="24" w:after="0"/>
        <w:ind w:left="542" w:right="0" w:hanging="140"/>
        <w:jc w:val="left"/>
        <w:rPr>
          <w:sz w:val="24"/>
        </w:rPr>
      </w:pPr>
      <w:r>
        <w:rPr>
          <w:sz w:val="24"/>
        </w:rPr>
        <w:t>Pintura exterior e interior en Tías /</w:t>
      </w:r>
      <w:r>
        <w:rPr>
          <w:spacing w:val="-4"/>
          <w:sz w:val="24"/>
        </w:rPr>
        <w:t> </w:t>
      </w:r>
      <w:r>
        <w:rPr>
          <w:sz w:val="24"/>
        </w:rPr>
        <w:t>impermeabilización</w:t>
      </w:r>
    </w:p>
    <w:p>
      <w:pPr>
        <w:pStyle w:val="ListParagraph"/>
        <w:numPr>
          <w:ilvl w:val="0"/>
          <w:numId w:val="13"/>
        </w:numPr>
        <w:tabs>
          <w:tab w:pos="542" w:val="left" w:leader="none"/>
        </w:tabs>
        <w:spacing w:line="240" w:lineRule="auto" w:before="22" w:after="0"/>
        <w:ind w:left="542" w:right="0" w:hanging="140"/>
        <w:jc w:val="left"/>
        <w:rPr>
          <w:sz w:val="24"/>
        </w:rPr>
      </w:pPr>
      <w:r>
        <w:rPr>
          <w:sz w:val="24"/>
        </w:rPr>
        <w:t>Pintura exterior e interior de</w:t>
      </w:r>
      <w:r>
        <w:rPr>
          <w:spacing w:val="-8"/>
          <w:sz w:val="24"/>
        </w:rPr>
        <w:t> </w:t>
      </w:r>
      <w:r>
        <w:rPr>
          <w:sz w:val="24"/>
        </w:rPr>
        <w:t>Candelaria</w:t>
      </w:r>
    </w:p>
    <w:p>
      <w:pPr>
        <w:pStyle w:val="ListParagraph"/>
        <w:numPr>
          <w:ilvl w:val="0"/>
          <w:numId w:val="13"/>
        </w:numPr>
        <w:tabs>
          <w:tab w:pos="537" w:val="left" w:leader="none"/>
        </w:tabs>
        <w:spacing w:line="259" w:lineRule="auto" w:before="22" w:after="0"/>
        <w:ind w:left="402" w:right="261" w:firstLine="0"/>
        <w:jc w:val="left"/>
        <w:rPr>
          <w:sz w:val="24"/>
        </w:rPr>
      </w:pPr>
      <w:r>
        <w:rPr>
          <w:sz w:val="24"/>
        </w:rPr>
        <w:t>Mejoras</w:t>
      </w:r>
      <w:r>
        <w:rPr>
          <w:spacing w:val="-7"/>
          <w:sz w:val="24"/>
        </w:rPr>
        <w:t> </w:t>
      </w:r>
      <w:r>
        <w:rPr>
          <w:sz w:val="24"/>
        </w:rPr>
        <w:t>en</w:t>
      </w:r>
      <w:r>
        <w:rPr>
          <w:spacing w:val="-6"/>
          <w:sz w:val="24"/>
        </w:rPr>
        <w:t> </w:t>
      </w:r>
      <w:r>
        <w:rPr>
          <w:sz w:val="24"/>
        </w:rPr>
        <w:t>el</w:t>
      </w:r>
      <w:r>
        <w:rPr>
          <w:spacing w:val="-6"/>
          <w:sz w:val="24"/>
        </w:rPr>
        <w:t> </w:t>
      </w:r>
      <w:r>
        <w:rPr>
          <w:sz w:val="24"/>
        </w:rPr>
        <w:t>nuevo</w:t>
      </w:r>
      <w:r>
        <w:rPr>
          <w:spacing w:val="-6"/>
          <w:sz w:val="24"/>
        </w:rPr>
        <w:t> </w:t>
      </w:r>
      <w:r>
        <w:rPr>
          <w:sz w:val="24"/>
        </w:rPr>
        <w:t>velatorio</w:t>
      </w:r>
      <w:r>
        <w:rPr>
          <w:spacing w:val="-7"/>
          <w:sz w:val="24"/>
        </w:rPr>
        <w:t> </w:t>
      </w:r>
      <w:r>
        <w:rPr>
          <w:sz w:val="24"/>
        </w:rPr>
        <w:t>en</w:t>
      </w:r>
      <w:r>
        <w:rPr>
          <w:spacing w:val="-6"/>
          <w:sz w:val="24"/>
        </w:rPr>
        <w:t> </w:t>
      </w:r>
      <w:r>
        <w:rPr>
          <w:sz w:val="24"/>
        </w:rPr>
        <w:t>Tías</w:t>
      </w:r>
      <w:r>
        <w:rPr>
          <w:spacing w:val="-6"/>
          <w:sz w:val="24"/>
        </w:rPr>
        <w:t> </w:t>
      </w:r>
      <w:r>
        <w:rPr>
          <w:sz w:val="24"/>
        </w:rPr>
        <w:t>/</w:t>
      </w:r>
      <w:r>
        <w:rPr>
          <w:spacing w:val="-6"/>
          <w:sz w:val="24"/>
        </w:rPr>
        <w:t> </w:t>
      </w:r>
      <w:r>
        <w:rPr>
          <w:sz w:val="24"/>
        </w:rPr>
        <w:t>instalación</w:t>
      </w:r>
      <w:r>
        <w:rPr>
          <w:spacing w:val="-6"/>
          <w:sz w:val="24"/>
        </w:rPr>
        <w:t> </w:t>
      </w:r>
      <w:r>
        <w:rPr>
          <w:sz w:val="24"/>
        </w:rPr>
        <w:t>de</w:t>
      </w:r>
      <w:r>
        <w:rPr>
          <w:spacing w:val="-7"/>
          <w:sz w:val="24"/>
        </w:rPr>
        <w:t> </w:t>
      </w:r>
      <w:r>
        <w:rPr>
          <w:sz w:val="24"/>
        </w:rPr>
        <w:t>nueva</w:t>
      </w:r>
      <w:r>
        <w:rPr>
          <w:spacing w:val="-8"/>
          <w:sz w:val="24"/>
        </w:rPr>
        <w:t> </w:t>
      </w:r>
      <w:r>
        <w:rPr>
          <w:sz w:val="24"/>
        </w:rPr>
        <w:t>pérgola,</w:t>
      </w:r>
      <w:r>
        <w:rPr>
          <w:spacing w:val="-6"/>
          <w:sz w:val="24"/>
        </w:rPr>
        <w:t> </w:t>
      </w:r>
      <w:r>
        <w:rPr>
          <w:sz w:val="24"/>
        </w:rPr>
        <w:t>instalación</w:t>
      </w:r>
      <w:r>
        <w:rPr>
          <w:spacing w:val="-6"/>
          <w:sz w:val="24"/>
        </w:rPr>
        <w:t> </w:t>
      </w:r>
      <w:r>
        <w:rPr>
          <w:sz w:val="24"/>
        </w:rPr>
        <w:t>bancos exteriores, mantenimientos</w:t>
      </w:r>
      <w:r>
        <w:rPr>
          <w:spacing w:val="-2"/>
          <w:sz w:val="24"/>
        </w:rPr>
        <w:t> </w:t>
      </w:r>
      <w:r>
        <w:rPr>
          <w:sz w:val="24"/>
        </w:rPr>
        <w:t>exteriores.</w:t>
      </w:r>
    </w:p>
    <w:p>
      <w:pPr>
        <w:pStyle w:val="BodyText"/>
        <w:spacing w:before="9"/>
        <w:rPr>
          <w:sz w:val="25"/>
        </w:rPr>
      </w:pPr>
    </w:p>
    <w:p>
      <w:pPr>
        <w:pStyle w:val="Heading4"/>
        <w:spacing w:before="0"/>
      </w:pPr>
      <w:r>
        <w:rPr/>
        <w:t>PATRIMONIO HISTÓRICO</w:t>
      </w:r>
    </w:p>
    <w:p>
      <w:pPr>
        <w:pStyle w:val="ListParagraph"/>
        <w:numPr>
          <w:ilvl w:val="0"/>
          <w:numId w:val="13"/>
        </w:numPr>
        <w:tabs>
          <w:tab w:pos="549" w:val="left" w:leader="none"/>
        </w:tabs>
        <w:spacing w:line="259" w:lineRule="auto" w:before="21" w:after="0"/>
        <w:ind w:left="402" w:right="262" w:firstLine="0"/>
        <w:jc w:val="left"/>
        <w:rPr>
          <w:sz w:val="24"/>
        </w:rPr>
      </w:pPr>
      <w:r>
        <w:rPr>
          <w:sz w:val="24"/>
        </w:rPr>
        <w:t>Publicación de la obra escrita por Inés Caraballo, Tirando de la Liña, con el apoyo del Ayto. De Tías y la Asociación subvencionada del Foro por la identidad de</w:t>
      </w:r>
      <w:r>
        <w:rPr>
          <w:spacing w:val="-13"/>
          <w:sz w:val="24"/>
        </w:rPr>
        <w:t> </w:t>
      </w:r>
      <w:r>
        <w:rPr>
          <w:sz w:val="24"/>
        </w:rPr>
        <w:t>Tías</w:t>
      </w:r>
    </w:p>
    <w:p>
      <w:pPr>
        <w:pStyle w:val="ListParagraph"/>
        <w:numPr>
          <w:ilvl w:val="0"/>
          <w:numId w:val="13"/>
        </w:numPr>
        <w:tabs>
          <w:tab w:pos="551" w:val="left" w:leader="none"/>
        </w:tabs>
        <w:spacing w:line="259" w:lineRule="auto" w:before="0" w:after="0"/>
        <w:ind w:left="402" w:right="263" w:firstLine="0"/>
        <w:jc w:val="left"/>
        <w:rPr>
          <w:sz w:val="24"/>
        </w:rPr>
      </w:pPr>
      <w:r>
        <w:rPr>
          <w:sz w:val="24"/>
        </w:rPr>
        <w:t>Realización de talleres de cestería, tejeduría, artesanía y macramé para fomento de las tradiciones</w:t>
      </w:r>
      <w:r>
        <w:rPr>
          <w:spacing w:val="-2"/>
          <w:sz w:val="24"/>
        </w:rPr>
        <w:t> </w:t>
      </w:r>
      <w:r>
        <w:rPr>
          <w:sz w:val="24"/>
        </w:rPr>
        <w:t>canarias</w:t>
      </w:r>
    </w:p>
    <w:p>
      <w:pPr>
        <w:pStyle w:val="ListParagraph"/>
        <w:numPr>
          <w:ilvl w:val="0"/>
          <w:numId w:val="13"/>
        </w:numPr>
        <w:tabs>
          <w:tab w:pos="602" w:val="left" w:leader="none"/>
        </w:tabs>
        <w:spacing w:line="259" w:lineRule="auto" w:before="1" w:after="0"/>
        <w:ind w:left="402" w:right="266" w:firstLine="0"/>
        <w:jc w:val="left"/>
        <w:rPr>
          <w:sz w:val="24"/>
        </w:rPr>
      </w:pPr>
      <w:r>
        <w:rPr>
          <w:sz w:val="24"/>
        </w:rPr>
        <w:t>Visitas guiadas por todos los pueblos del municipio para conocer mejor nuestro patrimonio histórico y cultural – RUTAS PATRIMONIALES</w:t>
      </w:r>
      <w:r>
        <w:rPr>
          <w:spacing w:val="-10"/>
          <w:sz w:val="24"/>
        </w:rPr>
        <w:t> </w:t>
      </w:r>
      <w:r>
        <w:rPr>
          <w:sz w:val="24"/>
        </w:rPr>
        <w:t>INTERPRETADAS</w:t>
      </w:r>
    </w:p>
    <w:p>
      <w:pPr>
        <w:pStyle w:val="ListParagraph"/>
        <w:numPr>
          <w:ilvl w:val="0"/>
          <w:numId w:val="13"/>
        </w:numPr>
        <w:tabs>
          <w:tab w:pos="542" w:val="left" w:leader="none"/>
        </w:tabs>
        <w:spacing w:line="275" w:lineRule="exact" w:before="0" w:after="0"/>
        <w:ind w:left="542" w:right="0" w:hanging="140"/>
        <w:jc w:val="left"/>
        <w:rPr>
          <w:sz w:val="24"/>
        </w:rPr>
      </w:pPr>
      <w:r>
        <w:rPr>
          <w:sz w:val="24"/>
        </w:rPr>
        <w:t>Charlas sobre patrimonio e historia</w:t>
      </w:r>
      <w:r>
        <w:rPr>
          <w:spacing w:val="-6"/>
          <w:sz w:val="24"/>
        </w:rPr>
        <w:t> </w:t>
      </w:r>
      <w:r>
        <w:rPr>
          <w:sz w:val="24"/>
        </w:rPr>
        <w:t>canaria</w:t>
      </w:r>
    </w:p>
    <w:p>
      <w:pPr>
        <w:pStyle w:val="ListParagraph"/>
        <w:numPr>
          <w:ilvl w:val="0"/>
          <w:numId w:val="13"/>
        </w:numPr>
        <w:tabs>
          <w:tab w:pos="549" w:val="left" w:leader="none"/>
        </w:tabs>
        <w:spacing w:line="259" w:lineRule="auto" w:before="22" w:after="0"/>
        <w:ind w:left="402" w:right="264" w:firstLine="0"/>
        <w:jc w:val="left"/>
        <w:rPr>
          <w:sz w:val="24"/>
        </w:rPr>
      </w:pPr>
      <w:r>
        <w:rPr>
          <w:sz w:val="24"/>
        </w:rPr>
        <w:t>Apoyo a nuevas propuestas literarias con referencia al patrimonio cultural canario: EL VIAJE DE LAS MOMIAS CANARIAS Edit. Herques, Edit. Le</w:t>
      </w:r>
      <w:r>
        <w:rPr>
          <w:spacing w:val="-11"/>
          <w:sz w:val="24"/>
        </w:rPr>
        <w:t> </w:t>
      </w:r>
      <w:r>
        <w:rPr>
          <w:sz w:val="24"/>
        </w:rPr>
        <w:t>Canarien</w:t>
      </w:r>
    </w:p>
    <w:p>
      <w:pPr>
        <w:pStyle w:val="BodyText"/>
        <w:spacing w:before="9"/>
        <w:rPr>
          <w:sz w:val="25"/>
        </w:rPr>
      </w:pPr>
    </w:p>
    <w:p>
      <w:pPr>
        <w:pStyle w:val="Heading4"/>
        <w:spacing w:before="0"/>
      </w:pPr>
      <w:r>
        <w:rPr/>
        <w:t>PESCA:</w:t>
      </w:r>
    </w:p>
    <w:p>
      <w:pPr>
        <w:pStyle w:val="BodyText"/>
        <w:spacing w:before="21"/>
        <w:ind w:left="402"/>
        <w:jc w:val="both"/>
      </w:pPr>
      <w:r>
        <w:rPr/>
        <w:t>-Subvención anual a la cofradía de pescadores de La Tiñosa.</w:t>
      </w:r>
    </w:p>
    <w:p>
      <w:pPr>
        <w:pStyle w:val="BodyText"/>
        <w:spacing w:line="259" w:lineRule="auto" w:before="22"/>
        <w:ind w:left="402" w:right="266"/>
        <w:jc w:val="both"/>
      </w:pPr>
      <w:r>
        <w:rPr/>
        <w:t>-Realización de obras de acondicionamiento del almacén de la Cofradía de marineros ubicado en el edificio de El Fondeadero.</w:t>
      </w:r>
    </w:p>
    <w:p>
      <w:pPr>
        <w:pStyle w:val="BodyText"/>
        <w:rPr>
          <w:sz w:val="26"/>
        </w:rPr>
      </w:pPr>
    </w:p>
    <w:p>
      <w:pPr>
        <w:pStyle w:val="Heading4"/>
        <w:spacing w:line="259" w:lineRule="auto" w:before="0"/>
        <w:ind w:right="261"/>
        <w:jc w:val="both"/>
      </w:pPr>
      <w:r>
        <w:rPr/>
        <w:t>ACTIVIDADES CLASIFICADAS ESPECTÁCULOS PÚBLICOS, INOCUAS; DISCIPLINA EN OCUPACIÓN DE LA VÍA PÚBLICA, PATRIMONIO; VIVIENDA; TRANSPARENCIA Y PROTECCIÓN DE DATOS.</w:t>
      </w:r>
    </w:p>
    <w:p>
      <w:pPr>
        <w:pStyle w:val="ListParagraph"/>
        <w:numPr>
          <w:ilvl w:val="0"/>
          <w:numId w:val="1"/>
        </w:numPr>
        <w:tabs>
          <w:tab w:pos="1110" w:val="left" w:leader="none"/>
        </w:tabs>
        <w:spacing w:line="259" w:lineRule="auto" w:before="0" w:after="0"/>
        <w:ind w:left="402" w:right="261" w:firstLine="0"/>
        <w:jc w:val="both"/>
        <w:rPr>
          <w:sz w:val="24"/>
        </w:rPr>
      </w:pPr>
      <w:r>
        <w:rPr>
          <w:sz w:val="24"/>
        </w:rPr>
        <w:t>Resolución</w:t>
      </w:r>
      <w:r>
        <w:rPr>
          <w:spacing w:val="-13"/>
          <w:sz w:val="24"/>
        </w:rPr>
        <w:t> </w:t>
      </w:r>
      <w:r>
        <w:rPr>
          <w:sz w:val="24"/>
        </w:rPr>
        <w:t>del</w:t>
      </w:r>
      <w:r>
        <w:rPr>
          <w:spacing w:val="-12"/>
          <w:sz w:val="24"/>
        </w:rPr>
        <w:t> </w:t>
      </w:r>
      <w:r>
        <w:rPr>
          <w:sz w:val="24"/>
        </w:rPr>
        <w:t>contrato</w:t>
      </w:r>
      <w:r>
        <w:rPr>
          <w:spacing w:val="-12"/>
          <w:sz w:val="24"/>
        </w:rPr>
        <w:t> </w:t>
      </w:r>
      <w:r>
        <w:rPr>
          <w:sz w:val="24"/>
        </w:rPr>
        <w:t>de</w:t>
      </w:r>
      <w:r>
        <w:rPr>
          <w:spacing w:val="-14"/>
          <w:sz w:val="24"/>
        </w:rPr>
        <w:t> </w:t>
      </w:r>
      <w:r>
        <w:rPr>
          <w:sz w:val="24"/>
        </w:rPr>
        <w:t>concesión</w:t>
      </w:r>
      <w:r>
        <w:rPr>
          <w:spacing w:val="-11"/>
          <w:sz w:val="24"/>
        </w:rPr>
        <w:t> </w:t>
      </w:r>
      <w:r>
        <w:rPr>
          <w:sz w:val="24"/>
        </w:rPr>
        <w:t>y</w:t>
      </w:r>
      <w:r>
        <w:rPr>
          <w:spacing w:val="-12"/>
          <w:sz w:val="24"/>
        </w:rPr>
        <w:t> </w:t>
      </w:r>
      <w:r>
        <w:rPr>
          <w:sz w:val="24"/>
        </w:rPr>
        <w:t>explotación</w:t>
      </w:r>
      <w:r>
        <w:rPr>
          <w:spacing w:val="-13"/>
          <w:sz w:val="24"/>
        </w:rPr>
        <w:t> </w:t>
      </w:r>
      <w:r>
        <w:rPr>
          <w:sz w:val="24"/>
        </w:rPr>
        <w:t>de</w:t>
      </w:r>
      <w:r>
        <w:rPr>
          <w:spacing w:val="-13"/>
          <w:sz w:val="24"/>
        </w:rPr>
        <w:t> </w:t>
      </w:r>
      <w:r>
        <w:rPr>
          <w:sz w:val="24"/>
        </w:rPr>
        <w:t>pistas</w:t>
      </w:r>
      <w:r>
        <w:rPr>
          <w:spacing w:val="-12"/>
          <w:sz w:val="24"/>
        </w:rPr>
        <w:t> </w:t>
      </w:r>
      <w:r>
        <w:rPr>
          <w:sz w:val="24"/>
        </w:rPr>
        <w:t>de</w:t>
      </w:r>
      <w:r>
        <w:rPr>
          <w:spacing w:val="-14"/>
          <w:sz w:val="24"/>
        </w:rPr>
        <w:t> </w:t>
      </w:r>
      <w:r>
        <w:rPr>
          <w:sz w:val="24"/>
        </w:rPr>
        <w:t>Tenis</w:t>
      </w:r>
      <w:r>
        <w:rPr>
          <w:spacing w:val="-14"/>
          <w:sz w:val="24"/>
        </w:rPr>
        <w:t> </w:t>
      </w:r>
      <w:r>
        <w:rPr>
          <w:sz w:val="24"/>
        </w:rPr>
        <w:t>calle</w:t>
      </w:r>
      <w:r>
        <w:rPr>
          <w:spacing w:val="-13"/>
          <w:sz w:val="24"/>
        </w:rPr>
        <w:t> </w:t>
      </w:r>
      <w:r>
        <w:rPr>
          <w:sz w:val="24"/>
        </w:rPr>
        <w:t>Togio, por liquidación de la masa del concursado</w:t>
      </w:r>
      <w:r>
        <w:rPr>
          <w:spacing w:val="-3"/>
          <w:sz w:val="24"/>
        </w:rPr>
        <w:t> </w:t>
      </w:r>
      <w:r>
        <w:rPr>
          <w:sz w:val="24"/>
        </w:rPr>
        <w:t>concesionario.</w:t>
      </w:r>
    </w:p>
    <w:p>
      <w:pPr>
        <w:pStyle w:val="BodyText"/>
        <w:spacing w:line="259" w:lineRule="auto"/>
        <w:ind w:left="402" w:right="259"/>
        <w:jc w:val="both"/>
      </w:pPr>
      <w:r>
        <w:rPr/>
        <w:t>Encargado</w:t>
      </w:r>
      <w:r>
        <w:rPr>
          <w:spacing w:val="-6"/>
        </w:rPr>
        <w:t> </w:t>
      </w:r>
      <w:r>
        <w:rPr/>
        <w:t>proyecto</w:t>
      </w:r>
      <w:r>
        <w:rPr>
          <w:spacing w:val="-4"/>
        </w:rPr>
        <w:t> </w:t>
      </w:r>
      <w:r>
        <w:rPr/>
        <w:t>de</w:t>
      </w:r>
      <w:r>
        <w:rPr>
          <w:spacing w:val="-6"/>
        </w:rPr>
        <w:t> </w:t>
      </w:r>
      <w:r>
        <w:rPr/>
        <w:t>obras</w:t>
      </w:r>
      <w:r>
        <w:rPr>
          <w:spacing w:val="-5"/>
        </w:rPr>
        <w:t> </w:t>
      </w:r>
      <w:r>
        <w:rPr/>
        <w:t>al</w:t>
      </w:r>
      <w:r>
        <w:rPr>
          <w:spacing w:val="-4"/>
        </w:rPr>
        <w:t> </w:t>
      </w:r>
      <w:r>
        <w:rPr/>
        <w:t>arquitecto</w:t>
      </w:r>
      <w:r>
        <w:rPr>
          <w:spacing w:val="-4"/>
        </w:rPr>
        <w:t> </w:t>
      </w:r>
      <w:r>
        <w:rPr/>
        <w:t>ENRIQUE</w:t>
      </w:r>
      <w:r>
        <w:rPr>
          <w:spacing w:val="-6"/>
        </w:rPr>
        <w:t> </w:t>
      </w:r>
      <w:r>
        <w:rPr/>
        <w:t>GOMEZ,</w:t>
      </w:r>
      <w:r>
        <w:rPr>
          <w:spacing w:val="-5"/>
        </w:rPr>
        <w:t> </w:t>
      </w:r>
      <w:r>
        <w:rPr/>
        <w:t>para</w:t>
      </w:r>
      <w:r>
        <w:rPr>
          <w:spacing w:val="-7"/>
        </w:rPr>
        <w:t> </w:t>
      </w:r>
      <w:r>
        <w:rPr/>
        <w:t>modificación</w:t>
      </w:r>
      <w:r>
        <w:rPr>
          <w:spacing w:val="-5"/>
        </w:rPr>
        <w:t> </w:t>
      </w:r>
      <w:r>
        <w:rPr/>
        <w:t>de</w:t>
      </w:r>
      <w:r>
        <w:rPr>
          <w:spacing w:val="-6"/>
        </w:rPr>
        <w:t> </w:t>
      </w:r>
      <w:r>
        <w:rPr/>
        <w:t>las instalaciones transformando 1 pista de tenis en una nueva de Pádel, con graderío para público y zona de pódiums, adecuación y modernización de cafetería, nuevas zonas de entrenamiento, zona de juegos de ping pong, nuevo parque infantil. Informándose para licencia por la oficina técnica. Elaborado borrador de proyecto para licitación. Pendiente de valoración para determinación de</w:t>
      </w:r>
      <w:r>
        <w:rPr>
          <w:spacing w:val="-3"/>
        </w:rPr>
        <w:t> </w:t>
      </w:r>
      <w:r>
        <w:rPr/>
        <w:t>canon.</w:t>
      </w:r>
    </w:p>
    <w:p>
      <w:pPr>
        <w:spacing w:after="0" w:line="259" w:lineRule="auto"/>
        <w:jc w:val="both"/>
        <w:sectPr>
          <w:pgSz w:w="11910" w:h="16840"/>
          <w:pgMar w:header="1217" w:footer="0" w:top="2740" w:bottom="280" w:left="1300" w:right="1440"/>
        </w:sectPr>
      </w:pPr>
    </w:p>
    <w:p>
      <w:pPr>
        <w:pStyle w:val="BodyText"/>
        <w:rPr>
          <w:sz w:val="20"/>
        </w:rPr>
      </w:pPr>
    </w:p>
    <w:p>
      <w:pPr>
        <w:pStyle w:val="BodyText"/>
        <w:rPr>
          <w:sz w:val="20"/>
        </w:rPr>
      </w:pPr>
    </w:p>
    <w:p>
      <w:pPr>
        <w:pStyle w:val="BodyText"/>
        <w:spacing w:before="1"/>
        <w:rPr>
          <w:sz w:val="25"/>
        </w:rPr>
      </w:pPr>
    </w:p>
    <w:p>
      <w:pPr>
        <w:pStyle w:val="ListParagraph"/>
        <w:numPr>
          <w:ilvl w:val="0"/>
          <w:numId w:val="1"/>
        </w:numPr>
        <w:tabs>
          <w:tab w:pos="1110" w:val="left" w:leader="none"/>
        </w:tabs>
        <w:spacing w:line="259" w:lineRule="auto" w:before="90" w:after="0"/>
        <w:ind w:left="402" w:right="264" w:firstLine="0"/>
        <w:jc w:val="both"/>
        <w:rPr>
          <w:sz w:val="24"/>
        </w:rPr>
      </w:pPr>
      <w:r>
        <w:rPr>
          <w:sz w:val="24"/>
        </w:rPr>
        <w:t>Procedimiento de licitación de bienes de dominio público, teleclubs Masdache, Conil y La</w:t>
      </w:r>
      <w:r>
        <w:rPr>
          <w:spacing w:val="-2"/>
          <w:sz w:val="24"/>
        </w:rPr>
        <w:t> </w:t>
      </w:r>
      <w:r>
        <w:rPr>
          <w:sz w:val="24"/>
        </w:rPr>
        <w:t>Tiñosa.</w:t>
      </w:r>
    </w:p>
    <w:p>
      <w:pPr>
        <w:pStyle w:val="BodyText"/>
        <w:spacing w:line="259" w:lineRule="auto"/>
        <w:ind w:left="402" w:right="262"/>
        <w:jc w:val="both"/>
      </w:pPr>
      <w:r>
        <w:rPr/>
        <w:t>Instaladas</w:t>
      </w:r>
      <w:r>
        <w:rPr>
          <w:spacing w:val="-7"/>
        </w:rPr>
        <w:t> </w:t>
      </w:r>
      <w:r>
        <w:rPr/>
        <w:t>las</w:t>
      </w:r>
      <w:r>
        <w:rPr>
          <w:spacing w:val="-6"/>
        </w:rPr>
        <w:t> </w:t>
      </w:r>
      <w:r>
        <w:rPr/>
        <w:t>pérgolas</w:t>
      </w:r>
      <w:r>
        <w:rPr>
          <w:spacing w:val="-6"/>
        </w:rPr>
        <w:t> </w:t>
      </w:r>
      <w:r>
        <w:rPr/>
        <w:t>de</w:t>
      </w:r>
      <w:r>
        <w:rPr>
          <w:spacing w:val="-5"/>
        </w:rPr>
        <w:t> </w:t>
      </w:r>
      <w:r>
        <w:rPr/>
        <w:t>hormigón</w:t>
      </w:r>
      <w:r>
        <w:rPr>
          <w:spacing w:val="-7"/>
        </w:rPr>
        <w:t> </w:t>
      </w:r>
      <w:r>
        <w:rPr/>
        <w:t>aligerado.</w:t>
      </w:r>
      <w:r>
        <w:rPr>
          <w:spacing w:val="-4"/>
        </w:rPr>
        <w:t> </w:t>
      </w:r>
      <w:r>
        <w:rPr/>
        <w:t>Adjudicado</w:t>
      </w:r>
      <w:r>
        <w:rPr>
          <w:spacing w:val="-6"/>
        </w:rPr>
        <w:t> </w:t>
      </w:r>
      <w:r>
        <w:rPr/>
        <w:t>contrato</w:t>
      </w:r>
      <w:r>
        <w:rPr>
          <w:spacing w:val="-6"/>
        </w:rPr>
        <w:t> </w:t>
      </w:r>
      <w:r>
        <w:rPr/>
        <w:t>de</w:t>
      </w:r>
      <w:r>
        <w:rPr>
          <w:spacing w:val="-7"/>
        </w:rPr>
        <w:t> </w:t>
      </w:r>
      <w:r>
        <w:rPr/>
        <w:t>concesión</w:t>
      </w:r>
      <w:r>
        <w:rPr>
          <w:spacing w:val="-7"/>
        </w:rPr>
        <w:t> </w:t>
      </w:r>
      <w:r>
        <w:rPr/>
        <w:t>del</w:t>
      </w:r>
      <w:r>
        <w:rPr>
          <w:spacing w:val="-6"/>
        </w:rPr>
        <w:t> </w:t>
      </w:r>
      <w:r>
        <w:rPr/>
        <w:t>Bar del Centro Sociocultural de Masdache.</w:t>
      </w:r>
    </w:p>
    <w:p>
      <w:pPr>
        <w:pStyle w:val="BodyText"/>
        <w:spacing w:before="9"/>
        <w:rPr>
          <w:sz w:val="25"/>
        </w:rPr>
      </w:pPr>
    </w:p>
    <w:p>
      <w:pPr>
        <w:pStyle w:val="ListParagraph"/>
        <w:numPr>
          <w:ilvl w:val="0"/>
          <w:numId w:val="1"/>
        </w:numPr>
        <w:tabs>
          <w:tab w:pos="1110" w:val="left" w:leader="none"/>
        </w:tabs>
        <w:spacing w:line="259" w:lineRule="auto" w:before="0" w:after="0"/>
        <w:ind w:left="402" w:right="264" w:firstLine="0"/>
        <w:jc w:val="both"/>
        <w:rPr>
          <w:sz w:val="24"/>
        </w:rPr>
      </w:pPr>
      <w:r>
        <w:rPr>
          <w:sz w:val="24"/>
        </w:rPr>
        <w:t>Cesión de bienes de dominio público para la colocación de antenas de telefonía en</w:t>
      </w:r>
      <w:r>
        <w:rPr>
          <w:spacing w:val="-1"/>
          <w:sz w:val="24"/>
        </w:rPr>
        <w:t> </w:t>
      </w:r>
      <w:r>
        <w:rPr>
          <w:sz w:val="24"/>
        </w:rPr>
        <w:t>Masdache.</w:t>
      </w:r>
    </w:p>
    <w:p>
      <w:pPr>
        <w:pStyle w:val="BodyText"/>
        <w:spacing w:line="259" w:lineRule="auto" w:before="2"/>
        <w:ind w:left="402" w:right="265"/>
        <w:jc w:val="both"/>
      </w:pPr>
      <w:r>
        <w:rPr/>
        <w:t>Formalizado el contrato de concesión en espera de que obtengan la autorización para el equipamiento de Telecomunicaciones de Administración central.</w:t>
      </w:r>
    </w:p>
    <w:p>
      <w:pPr>
        <w:pStyle w:val="BodyText"/>
        <w:spacing w:before="9"/>
        <w:rPr>
          <w:sz w:val="25"/>
        </w:rPr>
      </w:pPr>
    </w:p>
    <w:p>
      <w:pPr>
        <w:pStyle w:val="ListParagraph"/>
        <w:numPr>
          <w:ilvl w:val="0"/>
          <w:numId w:val="1"/>
        </w:numPr>
        <w:tabs>
          <w:tab w:pos="1110" w:val="left" w:leader="none"/>
        </w:tabs>
        <w:spacing w:line="259" w:lineRule="auto" w:before="0" w:after="0"/>
        <w:ind w:left="402" w:right="262" w:firstLine="0"/>
        <w:jc w:val="both"/>
        <w:rPr>
          <w:sz w:val="24"/>
        </w:rPr>
      </w:pPr>
      <w:r>
        <w:rPr>
          <w:sz w:val="24"/>
        </w:rPr>
        <w:t>Procedimiento para la autorización y concesión por costas de ocupación del dominio</w:t>
      </w:r>
      <w:r>
        <w:rPr>
          <w:spacing w:val="-14"/>
          <w:sz w:val="24"/>
        </w:rPr>
        <w:t> </w:t>
      </w:r>
      <w:r>
        <w:rPr>
          <w:sz w:val="24"/>
        </w:rPr>
        <w:t>público</w:t>
      </w:r>
      <w:r>
        <w:rPr>
          <w:spacing w:val="-13"/>
          <w:sz w:val="24"/>
        </w:rPr>
        <w:t> </w:t>
      </w:r>
      <w:r>
        <w:rPr>
          <w:sz w:val="24"/>
        </w:rPr>
        <w:t>donde</w:t>
      </w:r>
      <w:r>
        <w:rPr>
          <w:spacing w:val="-14"/>
          <w:sz w:val="24"/>
        </w:rPr>
        <w:t> </w:t>
      </w:r>
      <w:r>
        <w:rPr>
          <w:sz w:val="24"/>
        </w:rPr>
        <w:t>se</w:t>
      </w:r>
      <w:r>
        <w:rPr>
          <w:spacing w:val="-14"/>
          <w:sz w:val="24"/>
        </w:rPr>
        <w:t> </w:t>
      </w:r>
      <w:r>
        <w:rPr>
          <w:sz w:val="24"/>
        </w:rPr>
        <w:t>ubican</w:t>
      </w:r>
      <w:r>
        <w:rPr>
          <w:spacing w:val="-13"/>
          <w:sz w:val="24"/>
        </w:rPr>
        <w:t> </w:t>
      </w:r>
      <w:r>
        <w:rPr>
          <w:sz w:val="24"/>
        </w:rPr>
        <w:t>los</w:t>
      </w:r>
      <w:r>
        <w:rPr>
          <w:spacing w:val="-13"/>
          <w:sz w:val="24"/>
        </w:rPr>
        <w:t> </w:t>
      </w:r>
      <w:r>
        <w:rPr>
          <w:sz w:val="24"/>
        </w:rPr>
        <w:t>Kioscos</w:t>
      </w:r>
      <w:r>
        <w:rPr>
          <w:spacing w:val="-13"/>
          <w:sz w:val="24"/>
        </w:rPr>
        <w:t> </w:t>
      </w:r>
      <w:r>
        <w:rPr>
          <w:sz w:val="24"/>
        </w:rPr>
        <w:t>de</w:t>
      </w:r>
      <w:r>
        <w:rPr>
          <w:spacing w:val="-14"/>
          <w:sz w:val="24"/>
        </w:rPr>
        <w:t> </w:t>
      </w:r>
      <w:r>
        <w:rPr>
          <w:sz w:val="24"/>
        </w:rPr>
        <w:t>“Hotel</w:t>
      </w:r>
      <w:r>
        <w:rPr>
          <w:spacing w:val="-13"/>
          <w:sz w:val="24"/>
        </w:rPr>
        <w:t> </w:t>
      </w:r>
      <w:r>
        <w:rPr>
          <w:sz w:val="24"/>
        </w:rPr>
        <w:t>Beatriz”</w:t>
      </w:r>
      <w:r>
        <w:rPr>
          <w:spacing w:val="-14"/>
          <w:sz w:val="24"/>
        </w:rPr>
        <w:t> </w:t>
      </w:r>
      <w:r>
        <w:rPr>
          <w:sz w:val="24"/>
        </w:rPr>
        <w:t>y</w:t>
      </w:r>
      <w:r>
        <w:rPr>
          <w:spacing w:val="-13"/>
          <w:sz w:val="24"/>
        </w:rPr>
        <w:t> </w:t>
      </w:r>
      <w:r>
        <w:rPr>
          <w:sz w:val="24"/>
        </w:rPr>
        <w:t>Plaza</w:t>
      </w:r>
      <w:r>
        <w:rPr>
          <w:spacing w:val="-14"/>
          <w:sz w:val="24"/>
        </w:rPr>
        <w:t> </w:t>
      </w:r>
      <w:r>
        <w:rPr>
          <w:sz w:val="24"/>
        </w:rPr>
        <w:t>de</w:t>
      </w:r>
      <w:r>
        <w:rPr>
          <w:spacing w:val="-14"/>
          <w:sz w:val="24"/>
        </w:rPr>
        <w:t> </w:t>
      </w:r>
      <w:r>
        <w:rPr>
          <w:sz w:val="24"/>
        </w:rPr>
        <w:t>Las</w:t>
      </w:r>
      <w:r>
        <w:rPr>
          <w:spacing w:val="-13"/>
          <w:sz w:val="24"/>
        </w:rPr>
        <w:t> </w:t>
      </w:r>
      <w:r>
        <w:rPr>
          <w:sz w:val="24"/>
        </w:rPr>
        <w:t>Naciones. Enviada solicitud de autorización para actividad en zona de servidumbre, del Kiosco de Las Naciones, pendiente de resolución por</w:t>
      </w:r>
      <w:r>
        <w:rPr>
          <w:spacing w:val="-5"/>
          <w:sz w:val="24"/>
        </w:rPr>
        <w:t> </w:t>
      </w:r>
      <w:r>
        <w:rPr>
          <w:sz w:val="24"/>
        </w:rPr>
        <w:t>Costas.</w:t>
      </w:r>
    </w:p>
    <w:p>
      <w:pPr>
        <w:pStyle w:val="ListParagraph"/>
        <w:numPr>
          <w:ilvl w:val="0"/>
          <w:numId w:val="1"/>
        </w:numPr>
        <w:tabs>
          <w:tab w:pos="1110" w:val="left" w:leader="none"/>
        </w:tabs>
        <w:spacing w:line="274" w:lineRule="exact" w:before="0" w:after="0"/>
        <w:ind w:left="1110" w:right="0" w:hanging="708"/>
        <w:jc w:val="both"/>
        <w:rPr>
          <w:sz w:val="24"/>
        </w:rPr>
      </w:pPr>
      <w:r>
        <w:rPr>
          <w:sz w:val="24"/>
        </w:rPr>
        <w:t>Procedimiento de licitación de bienes patrimoniales</w:t>
      </w:r>
      <w:r>
        <w:rPr>
          <w:spacing w:val="-5"/>
          <w:sz w:val="24"/>
        </w:rPr>
        <w:t> </w:t>
      </w:r>
      <w:r>
        <w:rPr>
          <w:sz w:val="24"/>
        </w:rPr>
        <w:t>Minigolf.</w:t>
      </w:r>
    </w:p>
    <w:p>
      <w:pPr>
        <w:pStyle w:val="BodyText"/>
        <w:spacing w:line="259" w:lineRule="auto" w:before="22"/>
        <w:ind w:left="402" w:right="263"/>
        <w:jc w:val="both"/>
      </w:pPr>
      <w:r>
        <w:rPr/>
        <w:t>Finalizado el procedimiento de licitación, adjudicación de contrato en circuito de firma. Presentado el proyecto de obras por el licitador, pendiente de informe de la oficina técnica.</w:t>
      </w:r>
    </w:p>
    <w:p>
      <w:pPr>
        <w:pStyle w:val="ListParagraph"/>
        <w:numPr>
          <w:ilvl w:val="0"/>
          <w:numId w:val="1"/>
        </w:numPr>
        <w:tabs>
          <w:tab w:pos="1109" w:val="left" w:leader="none"/>
          <w:tab w:pos="1110" w:val="left" w:leader="none"/>
        </w:tabs>
        <w:spacing w:line="259" w:lineRule="auto" w:before="1" w:after="0"/>
        <w:ind w:left="402" w:right="1319" w:firstLine="0"/>
        <w:jc w:val="left"/>
        <w:rPr>
          <w:sz w:val="24"/>
        </w:rPr>
      </w:pPr>
      <w:r>
        <w:rPr>
          <w:sz w:val="24"/>
        </w:rPr>
        <w:t>Procedimiento de licitación de directorios publicitarios en vía pública. Valorando el impacto visual de la publicidad y la</w:t>
      </w:r>
      <w:r>
        <w:rPr>
          <w:spacing w:val="-4"/>
          <w:sz w:val="24"/>
        </w:rPr>
        <w:t> </w:t>
      </w:r>
      <w:r>
        <w:rPr>
          <w:sz w:val="24"/>
        </w:rPr>
        <w:t>conveniencia.</w:t>
      </w:r>
    </w:p>
    <w:p>
      <w:pPr>
        <w:pStyle w:val="ListParagraph"/>
        <w:numPr>
          <w:ilvl w:val="0"/>
          <w:numId w:val="1"/>
        </w:numPr>
        <w:tabs>
          <w:tab w:pos="1109" w:val="left" w:leader="none"/>
          <w:tab w:pos="1110" w:val="left" w:leader="none"/>
        </w:tabs>
        <w:spacing w:line="259" w:lineRule="auto" w:before="0" w:after="0"/>
        <w:ind w:left="402" w:right="262" w:firstLine="0"/>
        <w:jc w:val="left"/>
        <w:rPr>
          <w:sz w:val="24"/>
        </w:rPr>
      </w:pPr>
      <w:r>
        <w:rPr>
          <w:sz w:val="24"/>
        </w:rPr>
        <w:t>Adquisición de estación total para levantamiento georreferenciación, de suelo municipal, adecuación catastral e</w:t>
      </w:r>
      <w:r>
        <w:rPr>
          <w:spacing w:val="-1"/>
          <w:sz w:val="24"/>
        </w:rPr>
        <w:t> </w:t>
      </w:r>
      <w:r>
        <w:rPr>
          <w:sz w:val="24"/>
        </w:rPr>
        <w:t>inscripción.</w:t>
      </w:r>
    </w:p>
    <w:p>
      <w:pPr>
        <w:pStyle w:val="BodyText"/>
        <w:spacing w:line="259" w:lineRule="auto"/>
        <w:ind w:left="402" w:right="262"/>
        <w:jc w:val="both"/>
      </w:pPr>
      <w:r>
        <w:rPr/>
        <w:t>Pendiente de finalización la formación de los técnicos municipales para el manejo de la herramienta. Planificando plan de trabajo anual para programar actuaciones de georreferenciación y actualización de los bienes del catálogo. Estudio de todas las aplicaciones en el área de urbanismo para propuesta de plan de trabajo.</w:t>
      </w:r>
    </w:p>
    <w:p>
      <w:pPr>
        <w:pStyle w:val="BodyText"/>
        <w:spacing w:before="6"/>
        <w:rPr>
          <w:sz w:val="25"/>
        </w:rPr>
      </w:pPr>
    </w:p>
    <w:p>
      <w:pPr>
        <w:pStyle w:val="ListParagraph"/>
        <w:numPr>
          <w:ilvl w:val="0"/>
          <w:numId w:val="1"/>
        </w:numPr>
        <w:tabs>
          <w:tab w:pos="1110" w:val="left" w:leader="none"/>
        </w:tabs>
        <w:spacing w:line="259" w:lineRule="auto" w:before="1" w:after="0"/>
        <w:ind w:left="402" w:right="260" w:firstLine="0"/>
        <w:jc w:val="both"/>
        <w:rPr>
          <w:sz w:val="24"/>
        </w:rPr>
      </w:pPr>
      <w:r>
        <w:rPr>
          <w:sz w:val="24"/>
        </w:rPr>
        <w:t>Aplicación de la Ordenanza: Iniciados expedientes de revisión de oficio de la ocupación</w:t>
      </w:r>
      <w:r>
        <w:rPr>
          <w:spacing w:val="-7"/>
          <w:sz w:val="24"/>
        </w:rPr>
        <w:t> </w:t>
      </w:r>
      <w:r>
        <w:rPr>
          <w:sz w:val="24"/>
        </w:rPr>
        <w:t>de</w:t>
      </w:r>
      <w:r>
        <w:rPr>
          <w:spacing w:val="-7"/>
          <w:sz w:val="24"/>
        </w:rPr>
        <w:t> </w:t>
      </w:r>
      <w:r>
        <w:rPr>
          <w:sz w:val="24"/>
        </w:rPr>
        <w:t>la</w:t>
      </w:r>
      <w:r>
        <w:rPr>
          <w:spacing w:val="-7"/>
          <w:sz w:val="24"/>
        </w:rPr>
        <w:t> </w:t>
      </w:r>
      <w:r>
        <w:rPr>
          <w:sz w:val="24"/>
        </w:rPr>
        <w:t>vía</w:t>
      </w:r>
      <w:r>
        <w:rPr>
          <w:spacing w:val="-7"/>
          <w:sz w:val="24"/>
        </w:rPr>
        <w:t> </w:t>
      </w:r>
      <w:r>
        <w:rPr>
          <w:sz w:val="24"/>
        </w:rPr>
        <w:t>pública,</w:t>
      </w:r>
      <w:r>
        <w:rPr>
          <w:spacing w:val="-6"/>
          <w:sz w:val="24"/>
        </w:rPr>
        <w:t> </w:t>
      </w:r>
      <w:r>
        <w:rPr>
          <w:sz w:val="24"/>
        </w:rPr>
        <w:t>concediendo</w:t>
      </w:r>
      <w:r>
        <w:rPr>
          <w:spacing w:val="-7"/>
          <w:sz w:val="24"/>
        </w:rPr>
        <w:t> </w:t>
      </w:r>
      <w:r>
        <w:rPr>
          <w:sz w:val="24"/>
        </w:rPr>
        <w:t>licencias</w:t>
      </w:r>
      <w:r>
        <w:rPr>
          <w:spacing w:val="-4"/>
          <w:sz w:val="24"/>
        </w:rPr>
        <w:t> </w:t>
      </w:r>
      <w:r>
        <w:rPr>
          <w:sz w:val="24"/>
        </w:rPr>
        <w:t>y</w:t>
      </w:r>
      <w:r>
        <w:rPr>
          <w:spacing w:val="-7"/>
          <w:sz w:val="24"/>
        </w:rPr>
        <w:t> </w:t>
      </w:r>
      <w:r>
        <w:rPr>
          <w:sz w:val="24"/>
        </w:rPr>
        <w:t>recuperando</w:t>
      </w:r>
      <w:r>
        <w:rPr>
          <w:spacing w:val="-4"/>
          <w:sz w:val="24"/>
        </w:rPr>
        <w:t> </w:t>
      </w:r>
      <w:r>
        <w:rPr>
          <w:sz w:val="24"/>
        </w:rPr>
        <w:t>espacios</w:t>
      </w:r>
      <w:r>
        <w:rPr>
          <w:spacing w:val="-5"/>
          <w:sz w:val="24"/>
        </w:rPr>
        <w:t> </w:t>
      </w:r>
      <w:r>
        <w:rPr>
          <w:sz w:val="24"/>
        </w:rPr>
        <w:t>invadidos</w:t>
      </w:r>
      <w:r>
        <w:rPr>
          <w:spacing w:val="-6"/>
          <w:sz w:val="24"/>
        </w:rPr>
        <w:t> </w:t>
      </w:r>
      <w:r>
        <w:rPr>
          <w:sz w:val="24"/>
        </w:rPr>
        <w:t>que carecen de</w:t>
      </w:r>
      <w:r>
        <w:rPr>
          <w:spacing w:val="-2"/>
          <w:sz w:val="24"/>
        </w:rPr>
        <w:t> </w:t>
      </w:r>
      <w:r>
        <w:rPr>
          <w:sz w:val="24"/>
        </w:rPr>
        <w:t>título.</w:t>
      </w:r>
    </w:p>
    <w:p>
      <w:pPr>
        <w:pStyle w:val="BodyText"/>
        <w:spacing w:line="259" w:lineRule="auto" w:before="1"/>
        <w:ind w:left="402" w:right="3877"/>
      </w:pPr>
      <w:r>
        <w:rPr/>
        <w:t>Expedientes de Licencia de Vados: 54 Expedientes de Reserva de Estacionamiento: 9 Expedientes de Aparcamiento Reservado PMR: 33 Expedientes de BAJA de Licencia de Vado:</w:t>
      </w:r>
      <w:r>
        <w:rPr>
          <w:spacing w:val="-8"/>
        </w:rPr>
        <w:t> </w:t>
      </w:r>
      <w:r>
        <w:rPr/>
        <w:t>54</w:t>
      </w:r>
    </w:p>
    <w:p>
      <w:pPr>
        <w:pStyle w:val="BodyText"/>
        <w:spacing w:line="259" w:lineRule="auto"/>
        <w:ind w:left="402" w:right="2915"/>
      </w:pPr>
      <w:r>
        <w:rPr/>
        <w:t>Expedientes de BAJA de Reserva de Estacionamiento: 10 Expedientes de BAJA de Aparcamiento Reservado PMR: 10</w:t>
      </w:r>
    </w:p>
    <w:p>
      <w:pPr>
        <w:pStyle w:val="BodyText"/>
        <w:spacing w:line="275" w:lineRule="exact"/>
        <w:ind w:left="402"/>
      </w:pPr>
      <w:r>
        <w:rPr/>
        <w:t>Expedientes de Autorización de elementos en la vía pública (terrazas): 36</w:t>
      </w:r>
    </w:p>
    <w:p>
      <w:pPr>
        <w:spacing w:after="0" w:line="275" w:lineRule="exact"/>
        <w:sectPr>
          <w:pgSz w:w="11910" w:h="16840"/>
          <w:pgMar w:header="1217" w:footer="0" w:top="2740" w:bottom="280" w:left="1300" w:right="1440"/>
        </w:sectPr>
      </w:pPr>
    </w:p>
    <w:p>
      <w:pPr>
        <w:pStyle w:val="BodyText"/>
        <w:rPr>
          <w:sz w:val="20"/>
        </w:rPr>
      </w:pPr>
    </w:p>
    <w:p>
      <w:pPr>
        <w:pStyle w:val="BodyText"/>
        <w:spacing w:before="3"/>
        <w:rPr>
          <w:sz w:val="19"/>
        </w:rPr>
      </w:pPr>
    </w:p>
    <w:p>
      <w:pPr>
        <w:pStyle w:val="ListParagraph"/>
        <w:numPr>
          <w:ilvl w:val="0"/>
          <w:numId w:val="1"/>
        </w:numPr>
        <w:tabs>
          <w:tab w:pos="1110" w:val="left" w:leader="none"/>
        </w:tabs>
        <w:spacing w:line="259" w:lineRule="auto" w:before="90" w:after="0"/>
        <w:ind w:left="402" w:right="260" w:firstLine="0"/>
        <w:jc w:val="both"/>
        <w:rPr>
          <w:sz w:val="24"/>
        </w:rPr>
      </w:pPr>
      <w:r>
        <w:rPr>
          <w:sz w:val="24"/>
        </w:rPr>
        <w:t>Disciplina: Tramitados 164 expedientes. (21 expedientes de denuncias, 34 infracciones</w:t>
      </w:r>
      <w:r>
        <w:rPr>
          <w:spacing w:val="-17"/>
          <w:sz w:val="24"/>
        </w:rPr>
        <w:t> </w:t>
      </w:r>
      <w:r>
        <w:rPr>
          <w:sz w:val="24"/>
        </w:rPr>
        <w:t>en</w:t>
      </w:r>
      <w:r>
        <w:rPr>
          <w:spacing w:val="-16"/>
          <w:sz w:val="24"/>
        </w:rPr>
        <w:t> </w:t>
      </w:r>
      <w:r>
        <w:rPr>
          <w:sz w:val="24"/>
        </w:rPr>
        <w:t>suelo</w:t>
      </w:r>
      <w:r>
        <w:rPr>
          <w:spacing w:val="-15"/>
          <w:sz w:val="24"/>
        </w:rPr>
        <w:t> </w:t>
      </w:r>
      <w:r>
        <w:rPr>
          <w:sz w:val="24"/>
        </w:rPr>
        <w:t>rústico,</w:t>
      </w:r>
      <w:r>
        <w:rPr>
          <w:spacing w:val="-17"/>
          <w:sz w:val="24"/>
        </w:rPr>
        <w:t> </w:t>
      </w:r>
      <w:r>
        <w:rPr>
          <w:sz w:val="24"/>
        </w:rPr>
        <w:t>46</w:t>
      </w:r>
      <w:r>
        <w:rPr>
          <w:spacing w:val="-16"/>
          <w:sz w:val="24"/>
        </w:rPr>
        <w:t> </w:t>
      </w:r>
      <w:r>
        <w:rPr>
          <w:sz w:val="24"/>
        </w:rPr>
        <w:t>incoaciones</w:t>
      </w:r>
      <w:r>
        <w:rPr>
          <w:spacing w:val="-16"/>
          <w:sz w:val="24"/>
        </w:rPr>
        <w:t> </w:t>
      </w:r>
      <w:r>
        <w:rPr>
          <w:sz w:val="24"/>
        </w:rPr>
        <w:t>de</w:t>
      </w:r>
      <w:r>
        <w:rPr>
          <w:spacing w:val="-18"/>
          <w:sz w:val="24"/>
        </w:rPr>
        <w:t> </w:t>
      </w:r>
      <w:r>
        <w:rPr>
          <w:sz w:val="24"/>
        </w:rPr>
        <w:t>expedientes</w:t>
      </w:r>
      <w:r>
        <w:rPr>
          <w:spacing w:val="-16"/>
          <w:sz w:val="24"/>
        </w:rPr>
        <w:t> </w:t>
      </w:r>
      <w:r>
        <w:rPr>
          <w:sz w:val="24"/>
        </w:rPr>
        <w:t>de</w:t>
      </w:r>
      <w:r>
        <w:rPr>
          <w:spacing w:val="-17"/>
          <w:sz w:val="24"/>
        </w:rPr>
        <w:t> </w:t>
      </w:r>
      <w:r>
        <w:rPr>
          <w:sz w:val="24"/>
        </w:rPr>
        <w:t>restablecimiento</w:t>
      </w:r>
      <w:r>
        <w:rPr>
          <w:spacing w:val="-15"/>
          <w:sz w:val="24"/>
        </w:rPr>
        <w:t> </w:t>
      </w:r>
      <w:r>
        <w:rPr>
          <w:sz w:val="24"/>
        </w:rPr>
        <w:t>del</w:t>
      </w:r>
      <w:r>
        <w:rPr>
          <w:spacing w:val="-16"/>
          <w:sz w:val="24"/>
        </w:rPr>
        <w:t> </w:t>
      </w:r>
      <w:r>
        <w:rPr>
          <w:sz w:val="24"/>
        </w:rPr>
        <w:t>orden jco. perturbado, 63 exptes. de inexistencia de expedientes de disciplina</w:t>
      </w:r>
      <w:r>
        <w:rPr>
          <w:spacing w:val="-8"/>
          <w:sz w:val="24"/>
        </w:rPr>
        <w:t> </w:t>
      </w:r>
      <w:r>
        <w:rPr>
          <w:sz w:val="24"/>
        </w:rPr>
        <w:t>urbanística)</w:t>
      </w:r>
    </w:p>
    <w:p>
      <w:pPr>
        <w:pStyle w:val="BodyText"/>
        <w:spacing w:before="8"/>
        <w:rPr>
          <w:sz w:val="25"/>
        </w:rPr>
      </w:pPr>
    </w:p>
    <w:p>
      <w:pPr>
        <w:pStyle w:val="ListParagraph"/>
        <w:numPr>
          <w:ilvl w:val="0"/>
          <w:numId w:val="1"/>
        </w:numPr>
        <w:tabs>
          <w:tab w:pos="1110" w:val="left" w:leader="none"/>
        </w:tabs>
        <w:spacing w:line="240" w:lineRule="auto" w:before="1" w:after="0"/>
        <w:ind w:left="1110" w:right="0" w:hanging="708"/>
        <w:jc w:val="both"/>
        <w:rPr>
          <w:sz w:val="24"/>
        </w:rPr>
      </w:pPr>
      <w:r>
        <w:rPr>
          <w:sz w:val="24"/>
        </w:rPr>
        <w:t>Las</w:t>
      </w:r>
      <w:r>
        <w:rPr>
          <w:spacing w:val="-2"/>
          <w:sz w:val="24"/>
        </w:rPr>
        <w:t> </w:t>
      </w:r>
      <w:r>
        <w:rPr>
          <w:sz w:val="24"/>
        </w:rPr>
        <w:t>Grietas:</w:t>
      </w:r>
    </w:p>
    <w:p>
      <w:pPr>
        <w:pStyle w:val="BodyText"/>
        <w:spacing w:line="259" w:lineRule="auto" w:before="21"/>
        <w:ind w:left="402" w:right="260"/>
        <w:jc w:val="both"/>
      </w:pPr>
      <w:r>
        <w:rPr/>
        <w:t>Obtenida autorización de medio ambiente del Cabildo para actuar, delimitación de</w:t>
      </w:r>
      <w:r>
        <w:rPr>
          <w:spacing w:val="-26"/>
        </w:rPr>
        <w:t> </w:t>
      </w:r>
      <w:r>
        <w:rPr/>
        <w:t>zonas visitables y transitables, habilitación de sendero, colocación de señalética. Encargada II Fase para la creación de visitas guidas en convenio con el</w:t>
      </w:r>
      <w:r>
        <w:rPr>
          <w:spacing w:val="-6"/>
        </w:rPr>
        <w:t> </w:t>
      </w:r>
      <w:r>
        <w:rPr/>
        <w:t>Cabildo.</w:t>
      </w:r>
    </w:p>
    <w:p>
      <w:pPr>
        <w:pStyle w:val="BodyText"/>
        <w:rPr>
          <w:sz w:val="26"/>
        </w:rPr>
      </w:pPr>
    </w:p>
    <w:p>
      <w:pPr>
        <w:pStyle w:val="ListParagraph"/>
        <w:numPr>
          <w:ilvl w:val="0"/>
          <w:numId w:val="1"/>
        </w:numPr>
        <w:tabs>
          <w:tab w:pos="1110" w:val="left" w:leader="none"/>
        </w:tabs>
        <w:spacing w:line="240" w:lineRule="auto" w:before="0" w:after="0"/>
        <w:ind w:left="1110" w:right="0" w:hanging="708"/>
        <w:jc w:val="both"/>
        <w:rPr>
          <w:sz w:val="24"/>
        </w:rPr>
      </w:pPr>
      <w:r>
        <w:rPr>
          <w:sz w:val="24"/>
        </w:rPr>
        <w:t>Transparencia:</w:t>
      </w:r>
    </w:p>
    <w:p>
      <w:pPr>
        <w:pStyle w:val="BodyText"/>
        <w:spacing w:before="22"/>
        <w:ind w:left="402"/>
      </w:pPr>
      <w:r>
        <w:rPr/>
        <w:t>Subiendo documentación valoración en el mes de abril.</w:t>
      </w:r>
    </w:p>
    <w:p>
      <w:pPr>
        <w:pStyle w:val="BodyText"/>
        <w:spacing w:before="9"/>
        <w:rPr>
          <w:sz w:val="27"/>
        </w:rPr>
      </w:pPr>
    </w:p>
    <w:p>
      <w:pPr>
        <w:pStyle w:val="ListParagraph"/>
        <w:numPr>
          <w:ilvl w:val="0"/>
          <w:numId w:val="1"/>
        </w:numPr>
        <w:tabs>
          <w:tab w:pos="1110" w:val="left" w:leader="none"/>
        </w:tabs>
        <w:spacing w:line="259" w:lineRule="auto" w:before="0" w:after="0"/>
        <w:ind w:left="402" w:right="258" w:firstLine="0"/>
        <w:jc w:val="both"/>
        <w:rPr>
          <w:sz w:val="24"/>
        </w:rPr>
      </w:pPr>
      <w:r>
        <w:rPr>
          <w:sz w:val="24"/>
        </w:rPr>
        <w:t>Actividades Vv, registro de solicitudes de comunicación en actividades clasificadas,. Creación de protocolos para la aplicación de la nueva Ley de Ordenación de Turismo Sostenible, creación de procedimientos conforme a las nuevas exigencias , creación de modelos de solicitud, creación de protocolos de inspección de comunicaciones previas de inicio de actividad clasificada, en espera de la aprobación</w:t>
      </w:r>
      <w:r>
        <w:rPr>
          <w:spacing w:val="-41"/>
          <w:sz w:val="24"/>
        </w:rPr>
        <w:t> </w:t>
      </w:r>
      <w:r>
        <w:rPr>
          <w:sz w:val="24"/>
        </w:rPr>
        <w:t>del Reglamento de desarrollo de la Ley para aclarar cuestiones controvertidas suscitadas en distintos</w:t>
      </w:r>
      <w:r>
        <w:rPr>
          <w:spacing w:val="-12"/>
          <w:sz w:val="24"/>
        </w:rPr>
        <w:t> </w:t>
      </w:r>
      <w:r>
        <w:rPr>
          <w:sz w:val="24"/>
        </w:rPr>
        <w:t>municipios</w:t>
      </w:r>
      <w:r>
        <w:rPr>
          <w:spacing w:val="-8"/>
          <w:sz w:val="24"/>
        </w:rPr>
        <w:t> </w:t>
      </w:r>
      <w:r>
        <w:rPr>
          <w:sz w:val="24"/>
        </w:rPr>
        <w:t>turísticos</w:t>
      </w:r>
      <w:r>
        <w:rPr>
          <w:spacing w:val="-9"/>
          <w:sz w:val="24"/>
        </w:rPr>
        <w:t> </w:t>
      </w:r>
      <w:r>
        <w:rPr>
          <w:sz w:val="24"/>
        </w:rPr>
        <w:t>que</w:t>
      </w:r>
      <w:r>
        <w:rPr>
          <w:spacing w:val="-10"/>
          <w:sz w:val="24"/>
        </w:rPr>
        <w:t> </w:t>
      </w:r>
      <w:r>
        <w:rPr>
          <w:sz w:val="24"/>
        </w:rPr>
        <w:t>trabajan</w:t>
      </w:r>
      <w:r>
        <w:rPr>
          <w:spacing w:val="-9"/>
          <w:sz w:val="24"/>
        </w:rPr>
        <w:t> </w:t>
      </w:r>
      <w:r>
        <w:rPr>
          <w:sz w:val="24"/>
        </w:rPr>
        <w:t>coordinados</w:t>
      </w:r>
      <w:r>
        <w:rPr>
          <w:spacing w:val="-9"/>
          <w:sz w:val="24"/>
        </w:rPr>
        <w:t> </w:t>
      </w:r>
      <w:r>
        <w:rPr>
          <w:sz w:val="24"/>
        </w:rPr>
        <w:t>para</w:t>
      </w:r>
      <w:r>
        <w:rPr>
          <w:spacing w:val="-10"/>
          <w:sz w:val="24"/>
        </w:rPr>
        <w:t> </w:t>
      </w:r>
      <w:r>
        <w:rPr>
          <w:sz w:val="24"/>
        </w:rPr>
        <w:t>dar</w:t>
      </w:r>
      <w:r>
        <w:rPr>
          <w:spacing w:val="-10"/>
          <w:sz w:val="24"/>
        </w:rPr>
        <w:t> </w:t>
      </w:r>
      <w:r>
        <w:rPr>
          <w:sz w:val="24"/>
        </w:rPr>
        <w:t>una</w:t>
      </w:r>
      <w:r>
        <w:rPr>
          <w:spacing w:val="-10"/>
          <w:sz w:val="24"/>
        </w:rPr>
        <w:t> </w:t>
      </w:r>
      <w:r>
        <w:rPr>
          <w:sz w:val="24"/>
        </w:rPr>
        <w:t>respuesta</w:t>
      </w:r>
      <w:r>
        <w:rPr>
          <w:spacing w:val="-9"/>
          <w:sz w:val="24"/>
        </w:rPr>
        <w:t> </w:t>
      </w:r>
      <w:r>
        <w:rPr>
          <w:sz w:val="24"/>
        </w:rPr>
        <w:t>de</w:t>
      </w:r>
      <w:r>
        <w:rPr>
          <w:spacing w:val="-11"/>
          <w:sz w:val="24"/>
        </w:rPr>
        <w:t> </w:t>
      </w:r>
      <w:r>
        <w:rPr>
          <w:sz w:val="24"/>
        </w:rPr>
        <w:t>gestión coherente y conforme a la ley y al reglamento de desarrollo en tramitación en el Parlamento.</w:t>
      </w:r>
    </w:p>
    <w:p>
      <w:pPr>
        <w:pStyle w:val="ListParagraph"/>
        <w:numPr>
          <w:ilvl w:val="0"/>
          <w:numId w:val="1"/>
        </w:numPr>
        <w:tabs>
          <w:tab w:pos="1110" w:val="left" w:leader="none"/>
        </w:tabs>
        <w:spacing w:line="275" w:lineRule="exact" w:before="0" w:after="0"/>
        <w:ind w:left="1110" w:right="0" w:hanging="708"/>
        <w:jc w:val="both"/>
        <w:rPr>
          <w:sz w:val="24"/>
        </w:rPr>
      </w:pPr>
      <w:r>
        <w:rPr>
          <w:sz w:val="24"/>
        </w:rPr>
        <w:t>Espectáculos públicos autorizados en el año: En 2025 se han gestionado</w:t>
      </w:r>
      <w:r>
        <w:rPr>
          <w:spacing w:val="-6"/>
          <w:sz w:val="24"/>
        </w:rPr>
        <w:t> </w:t>
      </w:r>
      <w:r>
        <w:rPr>
          <w:sz w:val="24"/>
        </w:rPr>
        <w:t>34.</w:t>
      </w:r>
    </w:p>
    <w:p>
      <w:pPr>
        <w:pStyle w:val="BodyText"/>
        <w:spacing w:before="8"/>
        <w:rPr>
          <w:sz w:val="27"/>
        </w:rPr>
      </w:pPr>
    </w:p>
    <w:p>
      <w:pPr>
        <w:pStyle w:val="ListParagraph"/>
        <w:numPr>
          <w:ilvl w:val="0"/>
          <w:numId w:val="1"/>
        </w:numPr>
        <w:tabs>
          <w:tab w:pos="1109" w:val="left" w:leader="none"/>
          <w:tab w:pos="1110" w:val="left" w:leader="none"/>
        </w:tabs>
        <w:spacing w:line="240" w:lineRule="auto" w:before="1" w:after="0"/>
        <w:ind w:left="1110" w:right="0" w:hanging="708"/>
        <w:jc w:val="left"/>
        <w:rPr>
          <w:sz w:val="24"/>
        </w:rPr>
      </w:pPr>
      <w:r>
        <w:rPr>
          <w:sz w:val="24"/>
        </w:rPr>
        <w:t>Vivienda.</w:t>
      </w:r>
    </w:p>
    <w:p>
      <w:pPr>
        <w:pStyle w:val="BodyText"/>
        <w:spacing w:line="259" w:lineRule="auto" w:before="21"/>
        <w:ind w:left="402" w:right="263"/>
      </w:pPr>
      <w:r>
        <w:rPr/>
        <w:t>Se</w:t>
      </w:r>
      <w:r>
        <w:rPr>
          <w:spacing w:val="-12"/>
        </w:rPr>
        <w:t> </w:t>
      </w:r>
      <w:r>
        <w:rPr/>
        <w:t>ha</w:t>
      </w:r>
      <w:r>
        <w:rPr>
          <w:spacing w:val="-11"/>
        </w:rPr>
        <w:t> </w:t>
      </w:r>
      <w:r>
        <w:rPr/>
        <w:t>iniciado</w:t>
      </w:r>
      <w:r>
        <w:rPr>
          <w:spacing w:val="-8"/>
        </w:rPr>
        <w:t> </w:t>
      </w:r>
      <w:r>
        <w:rPr/>
        <w:t>procedimiento</w:t>
      </w:r>
      <w:r>
        <w:rPr>
          <w:spacing w:val="-10"/>
        </w:rPr>
        <w:t> </w:t>
      </w:r>
      <w:r>
        <w:rPr/>
        <w:t>para</w:t>
      </w:r>
      <w:r>
        <w:rPr>
          <w:spacing w:val="-12"/>
        </w:rPr>
        <w:t> </w:t>
      </w:r>
      <w:r>
        <w:rPr/>
        <w:t>la</w:t>
      </w:r>
      <w:r>
        <w:rPr>
          <w:spacing w:val="-8"/>
        </w:rPr>
        <w:t> </w:t>
      </w:r>
      <w:r>
        <w:rPr/>
        <w:t>creación</w:t>
      </w:r>
      <w:r>
        <w:rPr>
          <w:spacing w:val="-7"/>
        </w:rPr>
        <w:t> </w:t>
      </w:r>
      <w:r>
        <w:rPr/>
        <w:t>de</w:t>
      </w:r>
      <w:r>
        <w:rPr>
          <w:spacing w:val="-11"/>
        </w:rPr>
        <w:t> </w:t>
      </w:r>
      <w:r>
        <w:rPr/>
        <w:t>un</w:t>
      </w:r>
      <w:r>
        <w:rPr>
          <w:spacing w:val="-11"/>
        </w:rPr>
        <w:t> </w:t>
      </w:r>
      <w:r>
        <w:rPr/>
        <w:t>Registro</w:t>
      </w:r>
      <w:r>
        <w:rPr>
          <w:spacing w:val="-11"/>
        </w:rPr>
        <w:t> </w:t>
      </w:r>
      <w:r>
        <w:rPr/>
        <w:t>de</w:t>
      </w:r>
      <w:r>
        <w:rPr>
          <w:spacing w:val="-11"/>
        </w:rPr>
        <w:t> </w:t>
      </w:r>
      <w:r>
        <w:rPr/>
        <w:t>demandantes</w:t>
      </w:r>
      <w:r>
        <w:rPr>
          <w:spacing w:val="-10"/>
        </w:rPr>
        <w:t> </w:t>
      </w:r>
      <w:r>
        <w:rPr/>
        <w:t>de</w:t>
      </w:r>
      <w:r>
        <w:rPr>
          <w:spacing w:val="-11"/>
        </w:rPr>
        <w:t> </w:t>
      </w:r>
      <w:r>
        <w:rPr/>
        <w:t>vivienda en Tías, consensuado con el Instituto Canario de la Vivienda, se encuentra en</w:t>
      </w:r>
      <w:r>
        <w:rPr>
          <w:spacing w:val="-21"/>
        </w:rPr>
        <w:t> </w:t>
      </w:r>
      <w:r>
        <w:rPr/>
        <w:t>proceso.</w:t>
      </w:r>
    </w:p>
    <w:p>
      <w:pPr>
        <w:pStyle w:val="BodyText"/>
        <w:spacing w:line="259" w:lineRule="auto"/>
        <w:ind w:left="402" w:right="263"/>
      </w:pPr>
      <w:r>
        <w:rPr/>
        <w:t>En estudio de la competencias municipales sobre la posibilidad real de ejecución de fondos del Plan Estatal de Vivienda 2026-2030.</w:t>
      </w:r>
    </w:p>
    <w:p>
      <w:pPr>
        <w:pStyle w:val="BodyText"/>
        <w:spacing w:before="11"/>
        <w:rPr>
          <w:sz w:val="25"/>
        </w:rPr>
      </w:pPr>
    </w:p>
    <w:p>
      <w:pPr>
        <w:pStyle w:val="ListParagraph"/>
        <w:numPr>
          <w:ilvl w:val="0"/>
          <w:numId w:val="1"/>
        </w:numPr>
        <w:tabs>
          <w:tab w:pos="1110" w:val="left" w:leader="none"/>
        </w:tabs>
        <w:spacing w:line="259" w:lineRule="auto" w:before="0" w:after="0"/>
        <w:ind w:left="402" w:right="262" w:firstLine="0"/>
        <w:jc w:val="both"/>
        <w:rPr>
          <w:sz w:val="24"/>
        </w:rPr>
      </w:pPr>
      <w:r>
        <w:rPr>
          <w:sz w:val="24"/>
        </w:rPr>
        <w:t>Piscina Municipal. Creación de expediente para la declaración del servicio público, finalizado. Finalizados PPT y PCAP para licitar el contrato de servicio de monitores. Finalizado PPT y PCAP para licitar el contrato de ejecución del modificado de proyecto de instalaciones térmicas de la Piscina</w:t>
      </w:r>
      <w:r>
        <w:rPr>
          <w:spacing w:val="-8"/>
          <w:sz w:val="24"/>
        </w:rPr>
        <w:t> </w:t>
      </w:r>
      <w:r>
        <w:rPr>
          <w:sz w:val="24"/>
        </w:rPr>
        <w:t>municipal.</w:t>
      </w:r>
    </w:p>
    <w:p>
      <w:pPr>
        <w:pStyle w:val="BodyText"/>
        <w:spacing w:line="259" w:lineRule="auto"/>
        <w:ind w:left="402" w:right="262"/>
        <w:jc w:val="both"/>
      </w:pPr>
      <w:r>
        <w:rPr/>
        <w:t>En proceso de creación de expediente para la declaración de Inversión Financieramente Sostenible.</w:t>
      </w:r>
    </w:p>
    <w:p>
      <w:pPr>
        <w:pStyle w:val="BodyText"/>
        <w:spacing w:before="8"/>
        <w:rPr>
          <w:sz w:val="25"/>
        </w:rPr>
      </w:pPr>
    </w:p>
    <w:p>
      <w:pPr>
        <w:pStyle w:val="ListParagraph"/>
        <w:numPr>
          <w:ilvl w:val="0"/>
          <w:numId w:val="1"/>
        </w:numPr>
        <w:tabs>
          <w:tab w:pos="1109" w:val="left" w:leader="none"/>
          <w:tab w:pos="1110" w:val="left" w:leader="none"/>
        </w:tabs>
        <w:spacing w:line="259" w:lineRule="auto" w:before="0" w:after="0"/>
        <w:ind w:left="402" w:right="262" w:firstLine="0"/>
        <w:jc w:val="left"/>
        <w:rPr>
          <w:sz w:val="24"/>
        </w:rPr>
      </w:pPr>
      <w:r>
        <w:rPr>
          <w:sz w:val="24"/>
        </w:rPr>
        <w:t>Sala</w:t>
      </w:r>
      <w:r>
        <w:rPr>
          <w:spacing w:val="-8"/>
          <w:sz w:val="24"/>
        </w:rPr>
        <w:t> </w:t>
      </w:r>
      <w:r>
        <w:rPr>
          <w:sz w:val="24"/>
        </w:rPr>
        <w:t>deportiva</w:t>
      </w:r>
      <w:r>
        <w:rPr>
          <w:spacing w:val="-8"/>
          <w:sz w:val="24"/>
        </w:rPr>
        <w:t> </w:t>
      </w:r>
      <w:r>
        <w:rPr>
          <w:sz w:val="24"/>
        </w:rPr>
        <w:t>Anexa</w:t>
      </w:r>
      <w:r>
        <w:rPr>
          <w:spacing w:val="-8"/>
          <w:sz w:val="24"/>
        </w:rPr>
        <w:t> </w:t>
      </w:r>
      <w:r>
        <w:rPr>
          <w:sz w:val="24"/>
        </w:rPr>
        <w:t>(Sala</w:t>
      </w:r>
      <w:r>
        <w:rPr>
          <w:spacing w:val="-7"/>
          <w:sz w:val="24"/>
        </w:rPr>
        <w:t> </w:t>
      </w:r>
      <w:r>
        <w:rPr>
          <w:sz w:val="24"/>
        </w:rPr>
        <w:t>Azul).</w:t>
      </w:r>
      <w:r>
        <w:rPr>
          <w:spacing w:val="-8"/>
          <w:sz w:val="24"/>
        </w:rPr>
        <w:t> </w:t>
      </w:r>
      <w:r>
        <w:rPr>
          <w:sz w:val="24"/>
        </w:rPr>
        <w:t>Redactado</w:t>
      </w:r>
      <w:r>
        <w:rPr>
          <w:spacing w:val="-8"/>
          <w:sz w:val="24"/>
        </w:rPr>
        <w:t> </w:t>
      </w:r>
      <w:r>
        <w:rPr>
          <w:sz w:val="24"/>
        </w:rPr>
        <w:t>borrador</w:t>
      </w:r>
      <w:r>
        <w:rPr>
          <w:spacing w:val="-8"/>
          <w:sz w:val="24"/>
        </w:rPr>
        <w:t> </w:t>
      </w:r>
      <w:r>
        <w:rPr>
          <w:sz w:val="24"/>
        </w:rPr>
        <w:t>de</w:t>
      </w:r>
      <w:r>
        <w:rPr>
          <w:spacing w:val="-7"/>
          <w:sz w:val="24"/>
        </w:rPr>
        <w:t> </w:t>
      </w:r>
      <w:r>
        <w:rPr>
          <w:sz w:val="24"/>
        </w:rPr>
        <w:t>proyecto</w:t>
      </w:r>
      <w:r>
        <w:rPr>
          <w:spacing w:val="-7"/>
          <w:sz w:val="24"/>
        </w:rPr>
        <w:t> </w:t>
      </w:r>
      <w:r>
        <w:rPr>
          <w:sz w:val="24"/>
        </w:rPr>
        <w:t>de</w:t>
      </w:r>
      <w:r>
        <w:rPr>
          <w:spacing w:val="-8"/>
          <w:sz w:val="24"/>
        </w:rPr>
        <w:t> </w:t>
      </w:r>
      <w:r>
        <w:rPr>
          <w:sz w:val="24"/>
        </w:rPr>
        <w:t>Concesión, pendiente de informe de valoración para determinar</w:t>
      </w:r>
      <w:r>
        <w:rPr>
          <w:spacing w:val="-6"/>
          <w:sz w:val="24"/>
        </w:rPr>
        <w:t> </w:t>
      </w:r>
      <w:r>
        <w:rPr>
          <w:sz w:val="24"/>
        </w:rPr>
        <w:t>canon.</w:t>
      </w:r>
    </w:p>
    <w:p>
      <w:pPr>
        <w:pStyle w:val="ListParagraph"/>
        <w:numPr>
          <w:ilvl w:val="0"/>
          <w:numId w:val="1"/>
        </w:numPr>
        <w:tabs>
          <w:tab w:pos="1109" w:val="left" w:leader="none"/>
          <w:tab w:pos="1110" w:val="left" w:leader="none"/>
        </w:tabs>
        <w:spacing w:line="261" w:lineRule="auto" w:before="0" w:after="0"/>
        <w:ind w:left="402" w:right="263" w:firstLine="0"/>
        <w:jc w:val="left"/>
        <w:rPr>
          <w:sz w:val="24"/>
        </w:rPr>
      </w:pPr>
      <w:r>
        <w:rPr>
          <w:sz w:val="24"/>
        </w:rPr>
        <w:t>Cafetería de las Instalaciones Deportivas. Redactado proyecto de Concesión, pendiente de informe de valoración para determinar</w:t>
      </w:r>
      <w:r>
        <w:rPr>
          <w:spacing w:val="-6"/>
          <w:sz w:val="24"/>
        </w:rPr>
        <w:t> </w:t>
      </w:r>
      <w:r>
        <w:rPr>
          <w:sz w:val="24"/>
        </w:rPr>
        <w:t>canon.</w:t>
      </w:r>
    </w:p>
    <w:p>
      <w:pPr>
        <w:spacing w:after="0" w:line="261" w:lineRule="auto"/>
        <w:jc w:val="left"/>
        <w:rPr>
          <w:sz w:val="24"/>
        </w:rPr>
        <w:sectPr>
          <w:pgSz w:w="11910" w:h="16840"/>
          <w:pgMar w:header="1217" w:footer="0" w:top="2740" w:bottom="280" w:left="1300" w:right="1440"/>
        </w:sectPr>
      </w:pPr>
    </w:p>
    <w:p>
      <w:pPr>
        <w:pStyle w:val="BodyText"/>
        <w:rPr>
          <w:sz w:val="20"/>
        </w:rPr>
      </w:pPr>
    </w:p>
    <w:p>
      <w:pPr>
        <w:pStyle w:val="BodyText"/>
        <w:rPr>
          <w:sz w:val="20"/>
        </w:rPr>
      </w:pPr>
    </w:p>
    <w:p>
      <w:pPr>
        <w:pStyle w:val="BodyText"/>
        <w:spacing w:before="8" w:after="1"/>
        <w:rPr>
          <w:sz w:val="19"/>
        </w:rPr>
      </w:pPr>
    </w:p>
    <w:p>
      <w:pPr>
        <w:pStyle w:val="BodyText"/>
        <w:ind w:left="459"/>
        <w:rPr>
          <w:sz w:val="20"/>
        </w:rPr>
      </w:pPr>
      <w:r>
        <w:rPr>
          <w:sz w:val="20"/>
        </w:rPr>
        <w:drawing>
          <wp:inline distT="0" distB="0" distL="0" distR="0">
            <wp:extent cx="5294802" cy="7763256"/>
            <wp:effectExtent l="0" t="0" r="0" b="0"/>
            <wp:docPr id="147" name="image74.png"/>
            <wp:cNvGraphicFramePr>
              <a:graphicFrameLocks noChangeAspect="1"/>
            </wp:cNvGraphicFramePr>
            <a:graphic>
              <a:graphicData uri="http://schemas.openxmlformats.org/drawingml/2006/picture">
                <pic:pic>
                  <pic:nvPicPr>
                    <pic:cNvPr id="148" name="image74.png"/>
                    <pic:cNvPicPr/>
                  </pic:nvPicPr>
                  <pic:blipFill>
                    <a:blip r:embed="rId80" cstate="print"/>
                    <a:stretch>
                      <a:fillRect/>
                    </a:stretch>
                  </pic:blipFill>
                  <pic:spPr>
                    <a:xfrm>
                      <a:off x="0" y="0"/>
                      <a:ext cx="5294802" cy="7763256"/>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sz w:val="20"/>
        </w:rPr>
      </w:pPr>
    </w:p>
    <w:p>
      <w:pPr>
        <w:pStyle w:val="BodyText"/>
        <w:spacing w:before="1"/>
        <w:rPr>
          <w:sz w:val="27"/>
        </w:rPr>
      </w:pPr>
    </w:p>
    <w:p>
      <w:pPr>
        <w:pStyle w:val="BodyText"/>
        <w:ind w:left="401"/>
        <w:rPr>
          <w:sz w:val="20"/>
        </w:rPr>
      </w:pPr>
      <w:r>
        <w:rPr>
          <w:sz w:val="20"/>
        </w:rPr>
        <w:drawing>
          <wp:inline distT="0" distB="0" distL="0" distR="0">
            <wp:extent cx="5367710" cy="7654290"/>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81" cstate="print"/>
                    <a:stretch>
                      <a:fillRect/>
                    </a:stretch>
                  </pic:blipFill>
                  <pic:spPr>
                    <a:xfrm>
                      <a:off x="0" y="0"/>
                      <a:ext cx="5367710" cy="7654290"/>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sz w:val="20"/>
        </w:rPr>
      </w:pPr>
    </w:p>
    <w:p>
      <w:pPr>
        <w:pStyle w:val="BodyText"/>
        <w:spacing w:before="1"/>
        <w:rPr>
          <w:sz w:val="27"/>
        </w:rPr>
      </w:pPr>
    </w:p>
    <w:p>
      <w:pPr>
        <w:pStyle w:val="BodyText"/>
        <w:ind w:left="401"/>
        <w:rPr>
          <w:sz w:val="20"/>
        </w:rPr>
      </w:pPr>
      <w:r>
        <w:rPr>
          <w:sz w:val="20"/>
        </w:rPr>
        <w:drawing>
          <wp:inline distT="0" distB="0" distL="0" distR="0">
            <wp:extent cx="5367536" cy="8158353"/>
            <wp:effectExtent l="0" t="0" r="0" b="0"/>
            <wp:docPr id="151" name="image76.jpeg"/>
            <wp:cNvGraphicFramePr>
              <a:graphicFrameLocks noChangeAspect="1"/>
            </wp:cNvGraphicFramePr>
            <a:graphic>
              <a:graphicData uri="http://schemas.openxmlformats.org/drawingml/2006/picture">
                <pic:pic>
                  <pic:nvPicPr>
                    <pic:cNvPr id="152" name="image76.jpeg"/>
                    <pic:cNvPicPr/>
                  </pic:nvPicPr>
                  <pic:blipFill>
                    <a:blip r:embed="rId82" cstate="print"/>
                    <a:stretch>
                      <a:fillRect/>
                    </a:stretch>
                  </pic:blipFill>
                  <pic:spPr>
                    <a:xfrm>
                      <a:off x="0" y="0"/>
                      <a:ext cx="5367536" cy="8158353"/>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sz w:val="20"/>
        </w:rPr>
      </w:pPr>
    </w:p>
    <w:p>
      <w:pPr>
        <w:pStyle w:val="BodyText"/>
        <w:spacing w:before="3"/>
        <w:rPr>
          <w:sz w:val="19"/>
        </w:rPr>
      </w:pPr>
    </w:p>
    <w:p>
      <w:pPr>
        <w:pStyle w:val="Heading4"/>
      </w:pPr>
      <w:r>
        <w:rPr/>
        <w:t>RESIDUOS 2025</w:t>
      </w:r>
    </w:p>
    <w:p>
      <w:pPr>
        <w:pStyle w:val="BodyText"/>
        <w:rPr>
          <w:b/>
          <w:sz w:val="20"/>
        </w:rPr>
      </w:pPr>
    </w:p>
    <w:p>
      <w:pPr>
        <w:pStyle w:val="BodyText"/>
        <w:rPr>
          <w:b/>
          <w:sz w:val="20"/>
        </w:rPr>
      </w:pPr>
    </w:p>
    <w:p>
      <w:pPr>
        <w:pStyle w:val="BodyText"/>
        <w:spacing w:before="2"/>
        <w:rPr>
          <w:b/>
          <w:sz w:val="12"/>
        </w:rPr>
      </w:pPr>
      <w:r>
        <w:rPr/>
        <w:drawing>
          <wp:anchor distT="0" distB="0" distL="0" distR="0" allowOverlap="1" layoutInCell="1" locked="0" behindDoc="0" simplePos="0" relativeHeight="39">
            <wp:simplePos x="0" y="0"/>
            <wp:positionH relativeFrom="page">
              <wp:posOffset>1080135</wp:posOffset>
            </wp:positionH>
            <wp:positionV relativeFrom="paragraph">
              <wp:posOffset>114173</wp:posOffset>
            </wp:positionV>
            <wp:extent cx="5398854" cy="1156716"/>
            <wp:effectExtent l="0" t="0" r="0" b="0"/>
            <wp:wrapTopAndBottom/>
            <wp:docPr id="153" name="image77.jpeg"/>
            <wp:cNvGraphicFramePr>
              <a:graphicFrameLocks noChangeAspect="1"/>
            </wp:cNvGraphicFramePr>
            <a:graphic>
              <a:graphicData uri="http://schemas.openxmlformats.org/drawingml/2006/picture">
                <pic:pic>
                  <pic:nvPicPr>
                    <pic:cNvPr id="154" name="image77.jpeg"/>
                    <pic:cNvPicPr/>
                  </pic:nvPicPr>
                  <pic:blipFill>
                    <a:blip r:embed="rId83" cstate="print"/>
                    <a:stretch>
                      <a:fillRect/>
                    </a:stretch>
                  </pic:blipFill>
                  <pic:spPr>
                    <a:xfrm>
                      <a:off x="0" y="0"/>
                      <a:ext cx="5398854" cy="1156716"/>
                    </a:xfrm>
                    <a:prstGeom prst="rect">
                      <a:avLst/>
                    </a:prstGeom>
                  </pic:spPr>
                </pic:pic>
              </a:graphicData>
            </a:graphic>
          </wp:anchor>
        </w:drawing>
      </w:r>
    </w:p>
    <w:p>
      <w:pPr>
        <w:pStyle w:val="BodyText"/>
        <w:rPr>
          <w:b/>
          <w:sz w:val="26"/>
        </w:rPr>
      </w:pPr>
    </w:p>
    <w:p>
      <w:pPr>
        <w:pStyle w:val="BodyText"/>
        <w:spacing w:before="8"/>
        <w:rPr>
          <w:b/>
          <w:sz w:val="27"/>
        </w:rPr>
      </w:pPr>
    </w:p>
    <w:p>
      <w:pPr>
        <w:spacing w:before="1"/>
        <w:ind w:left="402" w:right="0" w:firstLine="0"/>
        <w:jc w:val="left"/>
        <w:rPr>
          <w:b/>
          <w:sz w:val="24"/>
        </w:rPr>
      </w:pPr>
      <w:r>
        <w:rPr>
          <w:b/>
          <w:sz w:val="24"/>
        </w:rPr>
        <w:t>EMPLEO 2025</w:t>
      </w:r>
    </w:p>
    <w:p>
      <w:pPr>
        <w:spacing w:before="180"/>
        <w:ind w:left="402" w:right="534" w:firstLine="0"/>
        <w:jc w:val="left"/>
        <w:rPr>
          <w:rFonts w:ascii="Calibri" w:hAnsi="Calibri"/>
          <w:b/>
          <w:sz w:val="24"/>
        </w:rPr>
      </w:pPr>
      <w:r>
        <w:rPr>
          <w:rFonts w:ascii="Calibri" w:hAnsi="Calibri"/>
          <w:b/>
          <w:w w:val="115"/>
          <w:sz w:val="24"/>
        </w:rPr>
        <w:t>Subvenciones</w:t>
      </w:r>
      <w:r>
        <w:rPr>
          <w:rFonts w:ascii="Calibri" w:hAnsi="Calibri"/>
          <w:b/>
          <w:spacing w:val="-41"/>
          <w:w w:val="115"/>
          <w:sz w:val="24"/>
        </w:rPr>
        <w:t> </w:t>
      </w:r>
      <w:r>
        <w:rPr>
          <w:rFonts w:ascii="Calibri" w:hAnsi="Calibri"/>
          <w:b/>
          <w:w w:val="115"/>
          <w:sz w:val="24"/>
        </w:rPr>
        <w:t>de</w:t>
      </w:r>
      <w:r>
        <w:rPr>
          <w:rFonts w:ascii="Calibri" w:hAnsi="Calibri"/>
          <w:b/>
          <w:spacing w:val="-40"/>
          <w:w w:val="115"/>
          <w:sz w:val="24"/>
        </w:rPr>
        <w:t> </w:t>
      </w:r>
      <w:r>
        <w:rPr>
          <w:rFonts w:ascii="Calibri" w:hAnsi="Calibri"/>
          <w:b/>
          <w:w w:val="115"/>
          <w:sz w:val="24"/>
        </w:rPr>
        <w:t>planes</w:t>
      </w:r>
      <w:r>
        <w:rPr>
          <w:rFonts w:ascii="Calibri" w:hAnsi="Calibri"/>
          <w:b/>
          <w:spacing w:val="-40"/>
          <w:w w:val="115"/>
          <w:sz w:val="24"/>
        </w:rPr>
        <w:t> </w:t>
      </w:r>
      <w:r>
        <w:rPr>
          <w:rFonts w:ascii="Calibri" w:hAnsi="Calibri"/>
          <w:b/>
          <w:w w:val="115"/>
          <w:sz w:val="24"/>
        </w:rPr>
        <w:t>de</w:t>
      </w:r>
      <w:r>
        <w:rPr>
          <w:rFonts w:ascii="Calibri" w:hAnsi="Calibri"/>
          <w:b/>
          <w:spacing w:val="-40"/>
          <w:w w:val="115"/>
          <w:sz w:val="24"/>
        </w:rPr>
        <w:t> </w:t>
      </w:r>
      <w:r>
        <w:rPr>
          <w:rFonts w:ascii="Calibri" w:hAnsi="Calibri"/>
          <w:b/>
          <w:w w:val="115"/>
          <w:sz w:val="24"/>
        </w:rPr>
        <w:t>empleo</w:t>
      </w:r>
      <w:r>
        <w:rPr>
          <w:rFonts w:ascii="Calibri" w:hAnsi="Calibri"/>
          <w:b/>
          <w:spacing w:val="-41"/>
          <w:w w:val="115"/>
          <w:sz w:val="24"/>
        </w:rPr>
        <w:t> </w:t>
      </w:r>
      <w:r>
        <w:rPr>
          <w:rFonts w:ascii="Calibri" w:hAnsi="Calibri"/>
          <w:b/>
          <w:w w:val="115"/>
          <w:sz w:val="24"/>
        </w:rPr>
        <w:t>del</w:t>
      </w:r>
      <w:r>
        <w:rPr>
          <w:rFonts w:ascii="Calibri" w:hAnsi="Calibri"/>
          <w:b/>
          <w:spacing w:val="-40"/>
          <w:w w:val="115"/>
          <w:sz w:val="24"/>
        </w:rPr>
        <w:t> </w:t>
      </w:r>
      <w:r>
        <w:rPr>
          <w:rFonts w:ascii="Calibri" w:hAnsi="Calibri"/>
          <w:b/>
          <w:w w:val="115"/>
          <w:sz w:val="24"/>
        </w:rPr>
        <w:t>año</w:t>
      </w:r>
      <w:r>
        <w:rPr>
          <w:rFonts w:ascii="Calibri" w:hAnsi="Calibri"/>
          <w:b/>
          <w:spacing w:val="-41"/>
          <w:w w:val="115"/>
          <w:sz w:val="24"/>
        </w:rPr>
        <w:t> </w:t>
      </w:r>
      <w:r>
        <w:rPr>
          <w:rFonts w:ascii="Calibri" w:hAnsi="Calibri"/>
          <w:b/>
          <w:w w:val="115"/>
          <w:sz w:val="24"/>
        </w:rPr>
        <w:t>2024,</w:t>
      </w:r>
      <w:r>
        <w:rPr>
          <w:rFonts w:ascii="Calibri" w:hAnsi="Calibri"/>
          <w:b/>
          <w:spacing w:val="-41"/>
          <w:w w:val="115"/>
          <w:sz w:val="24"/>
        </w:rPr>
        <w:t> </w:t>
      </w:r>
      <w:r>
        <w:rPr>
          <w:rFonts w:ascii="Calibri" w:hAnsi="Calibri"/>
          <w:b/>
          <w:w w:val="115"/>
          <w:sz w:val="24"/>
        </w:rPr>
        <w:t>que</w:t>
      </w:r>
      <w:r>
        <w:rPr>
          <w:rFonts w:ascii="Calibri" w:hAnsi="Calibri"/>
          <w:b/>
          <w:spacing w:val="-41"/>
          <w:w w:val="115"/>
          <w:sz w:val="24"/>
        </w:rPr>
        <w:t> </w:t>
      </w:r>
      <w:r>
        <w:rPr>
          <w:rFonts w:ascii="Calibri" w:hAnsi="Calibri"/>
          <w:b/>
          <w:w w:val="115"/>
          <w:sz w:val="24"/>
        </w:rPr>
        <w:t>se</w:t>
      </w:r>
      <w:r>
        <w:rPr>
          <w:rFonts w:ascii="Calibri" w:hAnsi="Calibri"/>
          <w:b/>
          <w:spacing w:val="-40"/>
          <w:w w:val="115"/>
          <w:sz w:val="24"/>
        </w:rPr>
        <w:t> </w:t>
      </w:r>
      <w:r>
        <w:rPr>
          <w:rFonts w:ascii="Calibri" w:hAnsi="Calibri"/>
          <w:b/>
          <w:w w:val="115"/>
          <w:sz w:val="24"/>
        </w:rPr>
        <w:t>ejecutaron</w:t>
      </w:r>
      <w:r>
        <w:rPr>
          <w:rFonts w:ascii="Calibri" w:hAnsi="Calibri"/>
          <w:b/>
          <w:spacing w:val="-40"/>
          <w:w w:val="115"/>
          <w:sz w:val="24"/>
        </w:rPr>
        <w:t> </w:t>
      </w:r>
      <w:r>
        <w:rPr>
          <w:rFonts w:ascii="Calibri" w:hAnsi="Calibri"/>
          <w:b/>
          <w:w w:val="115"/>
          <w:sz w:val="24"/>
        </w:rPr>
        <w:t>en</w:t>
      </w:r>
      <w:r>
        <w:rPr>
          <w:rFonts w:ascii="Calibri" w:hAnsi="Calibri"/>
          <w:b/>
          <w:spacing w:val="-41"/>
          <w:w w:val="115"/>
          <w:sz w:val="24"/>
        </w:rPr>
        <w:t> </w:t>
      </w:r>
      <w:r>
        <w:rPr>
          <w:rFonts w:ascii="Calibri" w:hAnsi="Calibri"/>
          <w:b/>
          <w:w w:val="115"/>
          <w:sz w:val="24"/>
        </w:rPr>
        <w:t>2025 son:</w:t>
      </w:r>
    </w:p>
    <w:p>
      <w:pPr>
        <w:pStyle w:val="BodyText"/>
        <w:rPr>
          <w:rFonts w:ascii="Calibri"/>
          <w:b/>
          <w:sz w:val="23"/>
        </w:rPr>
      </w:pPr>
    </w:p>
    <w:p>
      <w:pPr>
        <w:pStyle w:val="BodyText"/>
        <w:ind w:left="402"/>
        <w:rPr>
          <w:rFonts w:ascii="Tahoma" w:hAnsi="Tahoma"/>
        </w:rPr>
      </w:pPr>
      <w:r>
        <w:rPr>
          <w:rFonts w:ascii="Tahoma" w:hAnsi="Tahoma"/>
        </w:rPr>
        <w:t>Subvención del Servicio Canario de empleo: 355.252,91 €, contratación de 17</w:t>
      </w:r>
    </w:p>
    <w:p>
      <w:pPr>
        <w:pStyle w:val="BodyText"/>
        <w:spacing w:before="3"/>
        <w:ind w:left="402"/>
        <w:rPr>
          <w:rFonts w:ascii="Tahoma"/>
        </w:rPr>
      </w:pPr>
      <w:r>
        <w:rPr>
          <w:rFonts w:ascii="Tahoma"/>
        </w:rPr>
        <w:t>trabajadores/as.</w:t>
      </w:r>
    </w:p>
    <w:p>
      <w:pPr>
        <w:pStyle w:val="BodyText"/>
        <w:spacing w:before="3"/>
        <w:ind w:left="402"/>
        <w:rPr>
          <w:rFonts w:ascii="Tahoma" w:hAnsi="Tahoma"/>
        </w:rPr>
      </w:pPr>
      <w:r>
        <w:rPr>
          <w:rFonts w:ascii="Tahoma" w:hAnsi="Tahoma"/>
        </w:rPr>
        <w:t>Subvención del Cabildo de Lanzarote: 165.805,00 €, contratación de 12</w:t>
      </w:r>
    </w:p>
    <w:p>
      <w:pPr>
        <w:pStyle w:val="BodyText"/>
        <w:spacing w:before="6"/>
        <w:ind w:left="402"/>
        <w:rPr>
          <w:rFonts w:ascii="Tahoma"/>
        </w:rPr>
      </w:pPr>
      <w:r>
        <w:rPr>
          <w:rFonts w:ascii="Tahoma"/>
        </w:rPr>
        <w:t>trabajadores/as.</w:t>
      </w:r>
    </w:p>
    <w:p>
      <w:pPr>
        <w:pStyle w:val="BodyText"/>
        <w:spacing w:line="242" w:lineRule="auto" w:before="3"/>
        <w:ind w:left="402"/>
        <w:rPr>
          <w:rFonts w:ascii="Tahoma" w:hAnsi="Tahoma"/>
        </w:rPr>
      </w:pPr>
      <w:r>
        <w:rPr>
          <w:rFonts w:ascii="Tahoma" w:hAnsi="Tahoma"/>
        </w:rPr>
        <w:t>Se concedieron 3 PFAE, pero no se ejecutaron y se devolvió el dinero de la subvención</w:t>
      </w:r>
      <w:r>
        <w:rPr>
          <w:rFonts w:ascii="Tahoma" w:hAnsi="Tahoma"/>
          <w:spacing w:val="-20"/>
        </w:rPr>
        <w:t> </w:t>
      </w:r>
      <w:r>
        <w:rPr>
          <w:rFonts w:ascii="Tahoma" w:hAnsi="Tahoma"/>
        </w:rPr>
        <w:t>por</w:t>
      </w:r>
      <w:r>
        <w:rPr>
          <w:rFonts w:ascii="Tahoma" w:hAnsi="Tahoma"/>
          <w:spacing w:val="-20"/>
        </w:rPr>
        <w:t> </w:t>
      </w:r>
      <w:r>
        <w:rPr>
          <w:rFonts w:ascii="Tahoma" w:hAnsi="Tahoma"/>
        </w:rPr>
        <w:t>causas</w:t>
      </w:r>
      <w:r>
        <w:rPr>
          <w:rFonts w:ascii="Tahoma" w:hAnsi="Tahoma"/>
          <w:spacing w:val="-17"/>
        </w:rPr>
        <w:t> </w:t>
      </w:r>
      <w:r>
        <w:rPr>
          <w:rFonts w:ascii="Tahoma" w:hAnsi="Tahoma"/>
        </w:rPr>
        <w:t>no</w:t>
      </w:r>
      <w:r>
        <w:rPr>
          <w:rFonts w:ascii="Tahoma" w:hAnsi="Tahoma"/>
          <w:spacing w:val="-20"/>
        </w:rPr>
        <w:t> </w:t>
      </w:r>
      <w:r>
        <w:rPr>
          <w:rFonts w:ascii="Tahoma" w:hAnsi="Tahoma"/>
        </w:rPr>
        <w:t>imputables</w:t>
      </w:r>
      <w:r>
        <w:rPr>
          <w:rFonts w:ascii="Tahoma" w:hAnsi="Tahoma"/>
          <w:spacing w:val="-17"/>
        </w:rPr>
        <w:t> </w:t>
      </w:r>
      <w:r>
        <w:rPr>
          <w:rFonts w:ascii="Tahoma" w:hAnsi="Tahoma"/>
        </w:rPr>
        <w:t>a</w:t>
      </w:r>
      <w:r>
        <w:rPr>
          <w:rFonts w:ascii="Tahoma" w:hAnsi="Tahoma"/>
          <w:spacing w:val="-20"/>
        </w:rPr>
        <w:t> </w:t>
      </w:r>
      <w:r>
        <w:rPr>
          <w:rFonts w:ascii="Tahoma" w:hAnsi="Tahoma"/>
        </w:rPr>
        <w:t>la</w:t>
      </w:r>
      <w:r>
        <w:rPr>
          <w:rFonts w:ascii="Tahoma" w:hAnsi="Tahoma"/>
          <w:spacing w:val="-19"/>
        </w:rPr>
        <w:t> </w:t>
      </w:r>
      <w:r>
        <w:rPr>
          <w:rFonts w:ascii="Tahoma" w:hAnsi="Tahoma"/>
        </w:rPr>
        <w:t>administración</w:t>
      </w:r>
      <w:r>
        <w:rPr>
          <w:rFonts w:ascii="Tahoma" w:hAnsi="Tahoma"/>
          <w:spacing w:val="-20"/>
        </w:rPr>
        <w:t> </w:t>
      </w:r>
      <w:r>
        <w:rPr>
          <w:rFonts w:ascii="Tahoma" w:hAnsi="Tahoma"/>
        </w:rPr>
        <w:t>(falta</w:t>
      </w:r>
      <w:r>
        <w:rPr>
          <w:rFonts w:ascii="Tahoma" w:hAnsi="Tahoma"/>
          <w:spacing w:val="-16"/>
        </w:rPr>
        <w:t> </w:t>
      </w:r>
      <w:r>
        <w:rPr>
          <w:rFonts w:ascii="Tahoma" w:hAnsi="Tahoma"/>
        </w:rPr>
        <w:t>de</w:t>
      </w:r>
      <w:r>
        <w:rPr>
          <w:rFonts w:ascii="Tahoma" w:hAnsi="Tahoma"/>
          <w:spacing w:val="-18"/>
        </w:rPr>
        <w:t> </w:t>
      </w:r>
      <w:r>
        <w:rPr>
          <w:rFonts w:ascii="Tahoma" w:hAnsi="Tahoma"/>
        </w:rPr>
        <w:t>contratos</w:t>
      </w:r>
      <w:r>
        <w:rPr>
          <w:rFonts w:ascii="Tahoma" w:hAnsi="Tahoma"/>
          <w:spacing w:val="-19"/>
        </w:rPr>
        <w:t> </w:t>
      </w:r>
      <w:r>
        <w:rPr>
          <w:rFonts w:ascii="Tahoma" w:hAnsi="Tahoma"/>
        </w:rPr>
        <w:t>para contratar al</w:t>
      </w:r>
      <w:r>
        <w:rPr>
          <w:rFonts w:ascii="Tahoma" w:hAnsi="Tahoma"/>
          <w:spacing w:val="-57"/>
        </w:rPr>
        <w:t> </w:t>
      </w:r>
      <w:r>
        <w:rPr>
          <w:rFonts w:ascii="Tahoma" w:hAnsi="Tahoma"/>
        </w:rPr>
        <w:t>equipo).</w:t>
      </w:r>
    </w:p>
    <w:p>
      <w:pPr>
        <w:pStyle w:val="BodyText"/>
        <w:spacing w:line="242" w:lineRule="auto" w:before="1"/>
        <w:ind w:left="402" w:right="288"/>
        <w:rPr>
          <w:rFonts w:ascii="Tahoma" w:hAnsi="Tahoma"/>
        </w:rPr>
      </w:pPr>
      <w:r>
        <w:rPr>
          <w:rFonts w:ascii="Tahoma" w:hAnsi="Tahoma"/>
        </w:rPr>
        <w:t>También</w:t>
      </w:r>
      <w:r>
        <w:rPr>
          <w:rFonts w:ascii="Tahoma" w:hAnsi="Tahoma"/>
          <w:spacing w:val="-25"/>
        </w:rPr>
        <w:t> </w:t>
      </w:r>
      <w:r>
        <w:rPr>
          <w:rFonts w:ascii="Tahoma" w:hAnsi="Tahoma"/>
        </w:rPr>
        <w:t>se</w:t>
      </w:r>
      <w:r>
        <w:rPr>
          <w:rFonts w:ascii="Tahoma" w:hAnsi="Tahoma"/>
          <w:spacing w:val="-23"/>
        </w:rPr>
        <w:t> </w:t>
      </w:r>
      <w:r>
        <w:rPr>
          <w:rFonts w:ascii="Tahoma" w:hAnsi="Tahoma"/>
        </w:rPr>
        <w:t>concedió</w:t>
      </w:r>
      <w:r>
        <w:rPr>
          <w:rFonts w:ascii="Tahoma" w:hAnsi="Tahoma"/>
          <w:spacing w:val="-25"/>
        </w:rPr>
        <w:t> </w:t>
      </w:r>
      <w:r>
        <w:rPr>
          <w:rFonts w:ascii="Tahoma" w:hAnsi="Tahoma"/>
        </w:rPr>
        <w:t>la</w:t>
      </w:r>
      <w:r>
        <w:rPr>
          <w:rFonts w:ascii="Tahoma" w:hAnsi="Tahoma"/>
          <w:spacing w:val="-24"/>
        </w:rPr>
        <w:t> </w:t>
      </w:r>
      <w:r>
        <w:rPr>
          <w:rFonts w:ascii="Tahoma" w:hAnsi="Tahoma"/>
        </w:rPr>
        <w:t>subvención</w:t>
      </w:r>
      <w:r>
        <w:rPr>
          <w:rFonts w:ascii="Tahoma" w:hAnsi="Tahoma"/>
          <w:spacing w:val="-24"/>
        </w:rPr>
        <w:t> </w:t>
      </w:r>
      <w:r>
        <w:rPr>
          <w:rFonts w:ascii="Tahoma" w:hAnsi="Tahoma"/>
        </w:rPr>
        <w:t>de</w:t>
      </w:r>
      <w:r>
        <w:rPr>
          <w:rFonts w:ascii="Tahoma" w:hAnsi="Tahoma"/>
          <w:spacing w:val="-24"/>
        </w:rPr>
        <w:t> </w:t>
      </w:r>
      <w:r>
        <w:rPr>
          <w:rFonts w:ascii="Tahoma" w:hAnsi="Tahoma"/>
        </w:rPr>
        <w:t>PRODAE,</w:t>
      </w:r>
      <w:r>
        <w:rPr>
          <w:rFonts w:ascii="Tahoma" w:hAnsi="Tahoma"/>
          <w:spacing w:val="-22"/>
        </w:rPr>
        <w:t> </w:t>
      </w:r>
      <w:r>
        <w:rPr>
          <w:rFonts w:ascii="Tahoma" w:hAnsi="Tahoma"/>
        </w:rPr>
        <w:t>pero</w:t>
      </w:r>
      <w:r>
        <w:rPr>
          <w:rFonts w:ascii="Tahoma" w:hAnsi="Tahoma"/>
          <w:spacing w:val="-24"/>
        </w:rPr>
        <w:t> </w:t>
      </w:r>
      <w:r>
        <w:rPr>
          <w:rFonts w:ascii="Tahoma" w:hAnsi="Tahoma"/>
        </w:rPr>
        <w:t>no</w:t>
      </w:r>
      <w:r>
        <w:rPr>
          <w:rFonts w:ascii="Tahoma" w:hAnsi="Tahoma"/>
          <w:spacing w:val="-25"/>
        </w:rPr>
        <w:t> </w:t>
      </w:r>
      <w:r>
        <w:rPr>
          <w:rFonts w:ascii="Tahoma" w:hAnsi="Tahoma"/>
        </w:rPr>
        <w:t>se</w:t>
      </w:r>
      <w:r>
        <w:rPr>
          <w:rFonts w:ascii="Tahoma" w:hAnsi="Tahoma"/>
          <w:spacing w:val="-23"/>
        </w:rPr>
        <w:t> </w:t>
      </w:r>
      <w:r>
        <w:rPr>
          <w:rFonts w:ascii="Tahoma" w:hAnsi="Tahoma"/>
        </w:rPr>
        <w:t>ejecutó</w:t>
      </w:r>
      <w:r>
        <w:rPr>
          <w:rFonts w:ascii="Tahoma" w:hAnsi="Tahoma"/>
          <w:spacing w:val="-24"/>
        </w:rPr>
        <w:t> </w:t>
      </w:r>
      <w:r>
        <w:rPr>
          <w:rFonts w:ascii="Tahoma" w:hAnsi="Tahoma"/>
        </w:rPr>
        <w:t>y</w:t>
      </w:r>
      <w:r>
        <w:rPr>
          <w:rFonts w:ascii="Tahoma" w:hAnsi="Tahoma"/>
          <w:spacing w:val="-25"/>
        </w:rPr>
        <w:t> </w:t>
      </w:r>
      <w:r>
        <w:rPr>
          <w:rFonts w:ascii="Tahoma" w:hAnsi="Tahoma"/>
        </w:rPr>
        <w:t>se</w:t>
      </w:r>
      <w:r>
        <w:rPr>
          <w:rFonts w:ascii="Tahoma" w:hAnsi="Tahoma"/>
          <w:spacing w:val="-22"/>
        </w:rPr>
        <w:t> </w:t>
      </w:r>
      <w:r>
        <w:rPr>
          <w:rFonts w:ascii="Tahoma" w:hAnsi="Tahoma"/>
        </w:rPr>
        <w:t>devolvió el</w:t>
      </w:r>
      <w:r>
        <w:rPr>
          <w:rFonts w:ascii="Tahoma" w:hAnsi="Tahoma"/>
          <w:spacing w:val="-20"/>
        </w:rPr>
        <w:t> </w:t>
      </w:r>
      <w:r>
        <w:rPr>
          <w:rFonts w:ascii="Tahoma" w:hAnsi="Tahoma"/>
        </w:rPr>
        <w:t>dinero,</w:t>
      </w:r>
      <w:r>
        <w:rPr>
          <w:rFonts w:ascii="Tahoma" w:hAnsi="Tahoma"/>
          <w:spacing w:val="-17"/>
        </w:rPr>
        <w:t> </w:t>
      </w:r>
      <w:r>
        <w:rPr>
          <w:rFonts w:ascii="Tahoma" w:hAnsi="Tahoma"/>
        </w:rPr>
        <w:t>también</w:t>
      </w:r>
      <w:r>
        <w:rPr>
          <w:rFonts w:ascii="Tahoma" w:hAnsi="Tahoma"/>
          <w:spacing w:val="-21"/>
        </w:rPr>
        <w:t> </w:t>
      </w:r>
      <w:r>
        <w:rPr>
          <w:rFonts w:ascii="Tahoma" w:hAnsi="Tahoma"/>
        </w:rPr>
        <w:t>por</w:t>
      </w:r>
      <w:r>
        <w:rPr>
          <w:rFonts w:ascii="Tahoma" w:hAnsi="Tahoma"/>
          <w:spacing w:val="-20"/>
        </w:rPr>
        <w:t> </w:t>
      </w:r>
      <w:r>
        <w:rPr>
          <w:rFonts w:ascii="Tahoma" w:hAnsi="Tahoma"/>
        </w:rPr>
        <w:t>la</w:t>
      </w:r>
      <w:r>
        <w:rPr>
          <w:rFonts w:ascii="Tahoma" w:hAnsi="Tahoma"/>
          <w:spacing w:val="-20"/>
        </w:rPr>
        <w:t> </w:t>
      </w:r>
      <w:r>
        <w:rPr>
          <w:rFonts w:ascii="Tahoma" w:hAnsi="Tahoma"/>
        </w:rPr>
        <w:t>misma</w:t>
      </w:r>
      <w:r>
        <w:rPr>
          <w:rFonts w:ascii="Tahoma" w:hAnsi="Tahoma"/>
          <w:spacing w:val="-20"/>
        </w:rPr>
        <w:t> </w:t>
      </w:r>
      <w:r>
        <w:rPr>
          <w:rFonts w:ascii="Tahoma" w:hAnsi="Tahoma"/>
        </w:rPr>
        <w:t>causa</w:t>
      </w:r>
      <w:r>
        <w:rPr>
          <w:rFonts w:ascii="Tahoma" w:hAnsi="Tahoma"/>
          <w:spacing w:val="-21"/>
        </w:rPr>
        <w:t> </w:t>
      </w:r>
      <w:r>
        <w:rPr>
          <w:rFonts w:ascii="Tahoma" w:hAnsi="Tahoma"/>
        </w:rPr>
        <w:t>de</w:t>
      </w:r>
      <w:r>
        <w:rPr>
          <w:rFonts w:ascii="Tahoma" w:hAnsi="Tahoma"/>
          <w:spacing w:val="-19"/>
        </w:rPr>
        <w:t> </w:t>
      </w:r>
      <w:r>
        <w:rPr>
          <w:rFonts w:ascii="Tahoma" w:hAnsi="Tahoma"/>
        </w:rPr>
        <w:t>los</w:t>
      </w:r>
      <w:r>
        <w:rPr>
          <w:rFonts w:ascii="Tahoma" w:hAnsi="Tahoma"/>
          <w:spacing w:val="-17"/>
        </w:rPr>
        <w:t> </w:t>
      </w:r>
      <w:r>
        <w:rPr>
          <w:rFonts w:ascii="Tahoma" w:hAnsi="Tahoma"/>
        </w:rPr>
        <w:t>PFAES,</w:t>
      </w:r>
      <w:r>
        <w:rPr>
          <w:rFonts w:ascii="Tahoma" w:hAnsi="Tahoma"/>
          <w:spacing w:val="-18"/>
        </w:rPr>
        <w:t> </w:t>
      </w:r>
      <w:r>
        <w:rPr>
          <w:rFonts w:ascii="Tahoma" w:hAnsi="Tahoma"/>
        </w:rPr>
        <w:t>que</w:t>
      </w:r>
      <w:r>
        <w:rPr>
          <w:rFonts w:ascii="Tahoma" w:hAnsi="Tahoma"/>
          <w:spacing w:val="-18"/>
        </w:rPr>
        <w:t> </w:t>
      </w:r>
      <w:r>
        <w:rPr>
          <w:rFonts w:ascii="Tahoma" w:hAnsi="Tahoma"/>
        </w:rPr>
        <w:t>en</w:t>
      </w:r>
      <w:r>
        <w:rPr>
          <w:rFonts w:ascii="Tahoma" w:hAnsi="Tahoma"/>
          <w:spacing w:val="-20"/>
        </w:rPr>
        <w:t> </w:t>
      </w:r>
      <w:r>
        <w:rPr>
          <w:rFonts w:ascii="Tahoma" w:hAnsi="Tahoma"/>
        </w:rPr>
        <w:t>este</w:t>
      </w:r>
      <w:r>
        <w:rPr>
          <w:rFonts w:ascii="Tahoma" w:hAnsi="Tahoma"/>
          <w:spacing w:val="-20"/>
        </w:rPr>
        <w:t> </w:t>
      </w:r>
      <w:r>
        <w:rPr>
          <w:rFonts w:ascii="Tahoma" w:hAnsi="Tahoma"/>
        </w:rPr>
        <w:t>caso</w:t>
      </w:r>
      <w:r>
        <w:rPr>
          <w:rFonts w:ascii="Tahoma" w:hAnsi="Tahoma"/>
          <w:spacing w:val="-20"/>
        </w:rPr>
        <w:t> </w:t>
      </w:r>
      <w:r>
        <w:rPr>
          <w:rFonts w:ascii="Tahoma" w:hAnsi="Tahoma"/>
        </w:rPr>
        <w:t>se</w:t>
      </w:r>
      <w:r>
        <w:rPr>
          <w:rFonts w:ascii="Tahoma" w:hAnsi="Tahoma"/>
          <w:spacing w:val="-19"/>
        </w:rPr>
        <w:t> </w:t>
      </w:r>
      <w:r>
        <w:rPr>
          <w:rFonts w:ascii="Tahoma" w:hAnsi="Tahoma"/>
        </w:rPr>
        <w:t>renunció a la</w:t>
      </w:r>
      <w:r>
        <w:rPr>
          <w:rFonts w:ascii="Tahoma" w:hAnsi="Tahoma"/>
          <w:spacing w:val="-56"/>
        </w:rPr>
        <w:t> </w:t>
      </w:r>
      <w:r>
        <w:rPr>
          <w:rFonts w:ascii="Tahoma" w:hAnsi="Tahoma"/>
        </w:rPr>
        <w:t>subvención.</w:t>
      </w:r>
    </w:p>
    <w:p>
      <w:pPr>
        <w:pStyle w:val="BodyText"/>
        <w:spacing w:before="3"/>
        <w:rPr>
          <w:rFonts w:ascii="Tahoma"/>
          <w:sz w:val="25"/>
        </w:rPr>
      </w:pPr>
    </w:p>
    <w:p>
      <w:pPr>
        <w:pStyle w:val="Heading4"/>
        <w:spacing w:before="0"/>
        <w:ind w:right="263"/>
        <w:rPr>
          <w:rFonts w:ascii="Calibri" w:hAnsi="Calibri"/>
        </w:rPr>
      </w:pPr>
      <w:r>
        <w:rPr>
          <w:rFonts w:ascii="Calibri" w:hAnsi="Calibri"/>
          <w:w w:val="115"/>
        </w:rPr>
        <w:t>Subvenciones</w:t>
      </w:r>
      <w:r>
        <w:rPr>
          <w:rFonts w:ascii="Calibri" w:hAnsi="Calibri"/>
          <w:spacing w:val="-36"/>
          <w:w w:val="115"/>
        </w:rPr>
        <w:t> </w:t>
      </w:r>
      <w:r>
        <w:rPr>
          <w:rFonts w:ascii="Calibri" w:hAnsi="Calibri"/>
          <w:w w:val="115"/>
        </w:rPr>
        <w:t>de</w:t>
      </w:r>
      <w:r>
        <w:rPr>
          <w:rFonts w:ascii="Calibri" w:hAnsi="Calibri"/>
          <w:spacing w:val="-35"/>
          <w:w w:val="115"/>
        </w:rPr>
        <w:t> </w:t>
      </w:r>
      <w:r>
        <w:rPr>
          <w:rFonts w:ascii="Calibri" w:hAnsi="Calibri"/>
          <w:w w:val="115"/>
        </w:rPr>
        <w:t>planes</w:t>
      </w:r>
      <w:r>
        <w:rPr>
          <w:rFonts w:ascii="Calibri" w:hAnsi="Calibri"/>
          <w:spacing w:val="-35"/>
          <w:w w:val="115"/>
        </w:rPr>
        <w:t> </w:t>
      </w:r>
      <w:r>
        <w:rPr>
          <w:rFonts w:ascii="Calibri" w:hAnsi="Calibri"/>
          <w:w w:val="115"/>
        </w:rPr>
        <w:t>de</w:t>
      </w:r>
      <w:r>
        <w:rPr>
          <w:rFonts w:ascii="Calibri" w:hAnsi="Calibri"/>
          <w:spacing w:val="-35"/>
          <w:w w:val="115"/>
        </w:rPr>
        <w:t> </w:t>
      </w:r>
      <w:r>
        <w:rPr>
          <w:rFonts w:ascii="Calibri" w:hAnsi="Calibri"/>
          <w:w w:val="115"/>
        </w:rPr>
        <w:t>empleo</w:t>
      </w:r>
      <w:r>
        <w:rPr>
          <w:rFonts w:ascii="Calibri" w:hAnsi="Calibri"/>
          <w:spacing w:val="-36"/>
          <w:w w:val="115"/>
        </w:rPr>
        <w:t> </w:t>
      </w:r>
      <w:r>
        <w:rPr>
          <w:rFonts w:ascii="Calibri" w:hAnsi="Calibri"/>
          <w:w w:val="115"/>
        </w:rPr>
        <w:t>del</w:t>
      </w:r>
      <w:r>
        <w:rPr>
          <w:rFonts w:ascii="Calibri" w:hAnsi="Calibri"/>
          <w:spacing w:val="-35"/>
          <w:w w:val="115"/>
        </w:rPr>
        <w:t> </w:t>
      </w:r>
      <w:r>
        <w:rPr>
          <w:rFonts w:ascii="Calibri" w:hAnsi="Calibri"/>
          <w:w w:val="115"/>
        </w:rPr>
        <w:t>año</w:t>
      </w:r>
      <w:r>
        <w:rPr>
          <w:rFonts w:ascii="Calibri" w:hAnsi="Calibri"/>
          <w:spacing w:val="-36"/>
          <w:w w:val="115"/>
        </w:rPr>
        <w:t> </w:t>
      </w:r>
      <w:r>
        <w:rPr>
          <w:rFonts w:ascii="Calibri" w:hAnsi="Calibri"/>
          <w:w w:val="115"/>
        </w:rPr>
        <w:t>2025,</w:t>
      </w:r>
      <w:r>
        <w:rPr>
          <w:rFonts w:ascii="Calibri" w:hAnsi="Calibri"/>
          <w:spacing w:val="-36"/>
          <w:w w:val="115"/>
        </w:rPr>
        <w:t> </w:t>
      </w:r>
      <w:r>
        <w:rPr>
          <w:rFonts w:ascii="Calibri" w:hAnsi="Calibri"/>
          <w:w w:val="115"/>
        </w:rPr>
        <w:t>que</w:t>
      </w:r>
      <w:r>
        <w:rPr>
          <w:rFonts w:ascii="Calibri" w:hAnsi="Calibri"/>
          <w:spacing w:val="-36"/>
          <w:w w:val="115"/>
        </w:rPr>
        <w:t> </w:t>
      </w:r>
      <w:r>
        <w:rPr>
          <w:rFonts w:ascii="Calibri" w:hAnsi="Calibri"/>
          <w:w w:val="115"/>
        </w:rPr>
        <w:t>se</w:t>
      </w:r>
      <w:r>
        <w:rPr>
          <w:rFonts w:ascii="Calibri" w:hAnsi="Calibri"/>
          <w:spacing w:val="-35"/>
          <w:w w:val="115"/>
        </w:rPr>
        <w:t> </w:t>
      </w:r>
      <w:r>
        <w:rPr>
          <w:rFonts w:ascii="Calibri" w:hAnsi="Calibri"/>
          <w:w w:val="115"/>
        </w:rPr>
        <w:t>ejecutan</w:t>
      </w:r>
      <w:r>
        <w:rPr>
          <w:rFonts w:ascii="Calibri" w:hAnsi="Calibri"/>
          <w:spacing w:val="-37"/>
          <w:w w:val="115"/>
        </w:rPr>
        <w:t> </w:t>
      </w:r>
      <w:r>
        <w:rPr>
          <w:rFonts w:ascii="Calibri" w:hAnsi="Calibri"/>
          <w:w w:val="115"/>
        </w:rPr>
        <w:t>en</w:t>
      </w:r>
      <w:r>
        <w:rPr>
          <w:rFonts w:ascii="Calibri" w:hAnsi="Calibri"/>
          <w:spacing w:val="-36"/>
          <w:w w:val="115"/>
        </w:rPr>
        <w:t> </w:t>
      </w:r>
      <w:r>
        <w:rPr>
          <w:rFonts w:ascii="Calibri" w:hAnsi="Calibri"/>
          <w:w w:val="115"/>
        </w:rPr>
        <w:t>el</w:t>
      </w:r>
      <w:r>
        <w:rPr>
          <w:rFonts w:ascii="Calibri" w:hAnsi="Calibri"/>
          <w:spacing w:val="-35"/>
          <w:w w:val="115"/>
        </w:rPr>
        <w:t> </w:t>
      </w:r>
      <w:r>
        <w:rPr>
          <w:rFonts w:ascii="Calibri" w:hAnsi="Calibri"/>
          <w:w w:val="115"/>
        </w:rPr>
        <w:t>año 2026:</w:t>
      </w:r>
    </w:p>
    <w:p>
      <w:pPr>
        <w:pStyle w:val="BodyText"/>
        <w:rPr>
          <w:rFonts w:ascii="Calibri"/>
          <w:b/>
          <w:sz w:val="23"/>
        </w:rPr>
      </w:pPr>
    </w:p>
    <w:p>
      <w:pPr>
        <w:pStyle w:val="BodyText"/>
        <w:spacing w:line="242" w:lineRule="auto"/>
        <w:ind w:left="402" w:right="263"/>
        <w:rPr>
          <w:rFonts w:ascii="Tahoma" w:hAnsi="Tahoma"/>
        </w:rPr>
      </w:pPr>
      <w:r>
        <w:rPr>
          <w:rFonts w:ascii="Tahoma" w:hAnsi="Tahoma"/>
        </w:rPr>
        <w:t>Subvención del Servicio Canario de empleo: 349.645,62 €, el proyecto denominado</w:t>
      </w:r>
      <w:r>
        <w:rPr>
          <w:rFonts w:ascii="Tahoma" w:hAnsi="Tahoma"/>
          <w:spacing w:val="-26"/>
        </w:rPr>
        <w:t> </w:t>
      </w:r>
      <w:r>
        <w:rPr>
          <w:rFonts w:ascii="Tahoma" w:hAnsi="Tahoma"/>
        </w:rPr>
        <w:t>"Tías</w:t>
      </w:r>
      <w:r>
        <w:rPr>
          <w:rFonts w:ascii="Tahoma" w:hAnsi="Tahoma"/>
          <w:spacing w:val="-23"/>
        </w:rPr>
        <w:t> </w:t>
      </w:r>
      <w:r>
        <w:rPr>
          <w:rFonts w:ascii="Tahoma" w:hAnsi="Tahoma"/>
        </w:rPr>
        <w:t>en</w:t>
      </w:r>
      <w:r>
        <w:rPr>
          <w:rFonts w:ascii="Tahoma" w:hAnsi="Tahoma"/>
          <w:spacing w:val="-25"/>
        </w:rPr>
        <w:t> </w:t>
      </w:r>
      <w:r>
        <w:rPr>
          <w:rFonts w:ascii="Tahoma" w:hAnsi="Tahoma"/>
        </w:rPr>
        <w:t>marcha</w:t>
      </w:r>
      <w:r>
        <w:rPr>
          <w:rFonts w:ascii="Tahoma" w:hAnsi="Tahoma"/>
          <w:spacing w:val="-26"/>
        </w:rPr>
        <w:t> </w:t>
      </w:r>
      <w:r>
        <w:rPr>
          <w:rFonts w:ascii="Tahoma" w:hAnsi="Tahoma"/>
        </w:rPr>
        <w:t>para</w:t>
      </w:r>
      <w:r>
        <w:rPr>
          <w:rFonts w:ascii="Tahoma" w:hAnsi="Tahoma"/>
          <w:spacing w:val="-22"/>
        </w:rPr>
        <w:t> </w:t>
      </w:r>
      <w:r>
        <w:rPr>
          <w:rFonts w:ascii="Tahoma" w:hAnsi="Tahoma"/>
        </w:rPr>
        <w:t>la</w:t>
      </w:r>
      <w:r>
        <w:rPr>
          <w:rFonts w:ascii="Tahoma" w:hAnsi="Tahoma"/>
          <w:spacing w:val="-25"/>
        </w:rPr>
        <w:t> </w:t>
      </w:r>
      <w:r>
        <w:rPr>
          <w:rFonts w:ascii="Tahoma" w:hAnsi="Tahoma"/>
        </w:rPr>
        <w:t>integración</w:t>
      </w:r>
      <w:r>
        <w:rPr>
          <w:rFonts w:ascii="Tahoma" w:hAnsi="Tahoma"/>
          <w:spacing w:val="-25"/>
        </w:rPr>
        <w:t> </w:t>
      </w:r>
      <w:r>
        <w:rPr>
          <w:rFonts w:ascii="Tahoma" w:hAnsi="Tahoma"/>
        </w:rPr>
        <w:t>y</w:t>
      </w:r>
      <w:r>
        <w:rPr>
          <w:rFonts w:ascii="Tahoma" w:hAnsi="Tahoma"/>
          <w:spacing w:val="-26"/>
        </w:rPr>
        <w:t> </w:t>
      </w:r>
      <w:r>
        <w:rPr>
          <w:rFonts w:ascii="Tahoma" w:hAnsi="Tahoma"/>
        </w:rPr>
        <w:t>la</w:t>
      </w:r>
      <w:r>
        <w:rPr>
          <w:rFonts w:ascii="Tahoma" w:hAnsi="Tahoma"/>
          <w:spacing w:val="-25"/>
        </w:rPr>
        <w:t> </w:t>
      </w:r>
      <w:r>
        <w:rPr>
          <w:rFonts w:ascii="Tahoma" w:hAnsi="Tahoma"/>
        </w:rPr>
        <w:t>sostenibilidad</w:t>
      </w:r>
      <w:r>
        <w:rPr>
          <w:rFonts w:ascii="Tahoma" w:hAnsi="Tahoma"/>
          <w:spacing w:val="-24"/>
        </w:rPr>
        <w:t> </w:t>
      </w:r>
      <w:r>
        <w:rPr>
          <w:rFonts w:ascii="Tahoma" w:hAnsi="Tahoma"/>
        </w:rPr>
        <w:t>local:</w:t>
      </w:r>
      <w:r>
        <w:rPr>
          <w:rFonts w:ascii="Tahoma" w:hAnsi="Tahoma"/>
          <w:spacing w:val="-24"/>
        </w:rPr>
        <w:t> </w:t>
      </w:r>
      <w:r>
        <w:rPr>
          <w:rFonts w:ascii="Tahoma" w:hAnsi="Tahoma"/>
        </w:rPr>
        <w:t>2025- 2026",</w:t>
      </w:r>
      <w:r>
        <w:rPr>
          <w:rFonts w:ascii="Tahoma" w:hAnsi="Tahoma"/>
          <w:spacing w:val="-27"/>
        </w:rPr>
        <w:t> </w:t>
      </w:r>
      <w:r>
        <w:rPr>
          <w:rFonts w:ascii="Tahoma" w:hAnsi="Tahoma"/>
        </w:rPr>
        <w:t>está</w:t>
      </w:r>
      <w:r>
        <w:rPr>
          <w:rFonts w:ascii="Tahoma" w:hAnsi="Tahoma"/>
          <w:spacing w:val="-28"/>
        </w:rPr>
        <w:t> </w:t>
      </w:r>
      <w:r>
        <w:rPr>
          <w:rFonts w:ascii="Tahoma" w:hAnsi="Tahoma"/>
        </w:rPr>
        <w:t>en</w:t>
      </w:r>
      <w:r>
        <w:rPr>
          <w:rFonts w:ascii="Tahoma" w:hAnsi="Tahoma"/>
          <w:spacing w:val="-28"/>
        </w:rPr>
        <w:t> </w:t>
      </w:r>
      <w:r>
        <w:rPr>
          <w:rFonts w:ascii="Tahoma" w:hAnsi="Tahoma"/>
        </w:rPr>
        <w:t>ejecución,</w:t>
      </w:r>
      <w:r>
        <w:rPr>
          <w:rFonts w:ascii="Tahoma" w:hAnsi="Tahoma"/>
          <w:spacing w:val="-26"/>
        </w:rPr>
        <w:t> </w:t>
      </w:r>
      <w:r>
        <w:rPr>
          <w:rFonts w:ascii="Tahoma" w:hAnsi="Tahoma"/>
        </w:rPr>
        <w:t>contratación</w:t>
      </w:r>
      <w:r>
        <w:rPr>
          <w:rFonts w:ascii="Tahoma" w:hAnsi="Tahoma"/>
          <w:spacing w:val="-28"/>
        </w:rPr>
        <w:t> </w:t>
      </w:r>
      <w:r>
        <w:rPr>
          <w:rFonts w:ascii="Tahoma" w:hAnsi="Tahoma"/>
        </w:rPr>
        <w:t>de</w:t>
      </w:r>
      <w:r>
        <w:rPr>
          <w:rFonts w:ascii="Tahoma" w:hAnsi="Tahoma"/>
          <w:spacing w:val="-25"/>
        </w:rPr>
        <w:t> </w:t>
      </w:r>
      <w:r>
        <w:rPr>
          <w:rFonts w:ascii="Tahoma" w:hAnsi="Tahoma"/>
        </w:rPr>
        <w:t>16</w:t>
      </w:r>
      <w:r>
        <w:rPr>
          <w:rFonts w:ascii="Tahoma" w:hAnsi="Tahoma"/>
          <w:spacing w:val="-26"/>
        </w:rPr>
        <w:t> </w:t>
      </w:r>
      <w:r>
        <w:rPr>
          <w:rFonts w:ascii="Tahoma" w:hAnsi="Tahoma"/>
        </w:rPr>
        <w:t>trabajadores/as.</w:t>
      </w:r>
    </w:p>
    <w:p>
      <w:pPr>
        <w:pStyle w:val="BodyText"/>
        <w:spacing w:before="4"/>
        <w:ind w:left="402"/>
        <w:rPr>
          <w:rFonts w:ascii="Tahoma" w:hAnsi="Tahoma"/>
        </w:rPr>
      </w:pPr>
      <w:r>
        <w:rPr>
          <w:rFonts w:ascii="Tahoma" w:hAnsi="Tahoma"/>
        </w:rPr>
        <w:t>Subvención del Cabildo de Lanzarote: 179.588,93 €, el proyecto denominado "Tías</w:t>
      </w:r>
    </w:p>
    <w:p>
      <w:pPr>
        <w:pStyle w:val="BodyText"/>
        <w:spacing w:line="242" w:lineRule="auto" w:before="3"/>
        <w:ind w:left="402" w:right="2300"/>
        <w:rPr>
          <w:rFonts w:ascii="Tahoma" w:hAnsi="Tahoma"/>
        </w:rPr>
      </w:pPr>
      <w:r>
        <w:rPr>
          <w:rFonts w:ascii="Tahoma" w:hAnsi="Tahoma"/>
        </w:rPr>
        <w:t>con el desarrollo sostenible: 2025-2026" está en ejecución denominado contratarán contratación de 13 trabajadores/as.</w:t>
      </w:r>
    </w:p>
    <w:p>
      <w:pPr>
        <w:pStyle w:val="BodyText"/>
        <w:spacing w:line="242" w:lineRule="auto" w:before="1"/>
        <w:ind w:left="402"/>
        <w:rPr>
          <w:rFonts w:ascii="Tahoma" w:hAnsi="Tahoma"/>
        </w:rPr>
      </w:pPr>
      <w:r>
        <w:rPr>
          <w:rFonts w:ascii="Tahoma" w:hAnsi="Tahoma"/>
        </w:rPr>
        <w:t>Subvención</w:t>
      </w:r>
      <w:r>
        <w:rPr>
          <w:rFonts w:ascii="Tahoma" w:hAnsi="Tahoma"/>
          <w:spacing w:val="-26"/>
        </w:rPr>
        <w:t> </w:t>
      </w:r>
      <w:r>
        <w:rPr>
          <w:rFonts w:ascii="Tahoma" w:hAnsi="Tahoma"/>
        </w:rPr>
        <w:t>para</w:t>
      </w:r>
      <w:r>
        <w:rPr>
          <w:rFonts w:ascii="Tahoma" w:hAnsi="Tahoma"/>
          <w:spacing w:val="-25"/>
        </w:rPr>
        <w:t> </w:t>
      </w:r>
      <w:r>
        <w:rPr>
          <w:rFonts w:ascii="Tahoma" w:hAnsi="Tahoma"/>
        </w:rPr>
        <w:t>formación</w:t>
      </w:r>
      <w:r>
        <w:rPr>
          <w:rFonts w:ascii="Tahoma" w:hAnsi="Tahoma"/>
          <w:spacing w:val="-25"/>
        </w:rPr>
        <w:t> </w:t>
      </w:r>
      <w:r>
        <w:rPr>
          <w:rFonts w:ascii="Tahoma" w:hAnsi="Tahoma"/>
        </w:rPr>
        <w:t>en</w:t>
      </w:r>
      <w:r>
        <w:rPr>
          <w:rFonts w:ascii="Tahoma" w:hAnsi="Tahoma"/>
          <w:spacing w:val="-24"/>
        </w:rPr>
        <w:t> </w:t>
      </w:r>
      <w:r>
        <w:rPr>
          <w:rFonts w:ascii="Tahoma" w:hAnsi="Tahoma"/>
        </w:rPr>
        <w:t>alternancia</w:t>
      </w:r>
      <w:r>
        <w:rPr>
          <w:rFonts w:ascii="Tahoma" w:hAnsi="Tahoma"/>
          <w:spacing w:val="-25"/>
        </w:rPr>
        <w:t> </w:t>
      </w:r>
      <w:r>
        <w:rPr>
          <w:rFonts w:ascii="Tahoma" w:hAnsi="Tahoma"/>
        </w:rPr>
        <w:t>con</w:t>
      </w:r>
      <w:r>
        <w:rPr>
          <w:rFonts w:ascii="Tahoma" w:hAnsi="Tahoma"/>
          <w:spacing w:val="-22"/>
        </w:rPr>
        <w:t> </w:t>
      </w:r>
      <w:r>
        <w:rPr>
          <w:rFonts w:ascii="Tahoma" w:hAnsi="Tahoma"/>
        </w:rPr>
        <w:t>el</w:t>
      </w:r>
      <w:r>
        <w:rPr>
          <w:rFonts w:ascii="Tahoma" w:hAnsi="Tahoma"/>
          <w:spacing w:val="-24"/>
        </w:rPr>
        <w:t> </w:t>
      </w:r>
      <w:r>
        <w:rPr>
          <w:rFonts w:ascii="Tahoma" w:hAnsi="Tahoma"/>
        </w:rPr>
        <w:t>empleo</w:t>
      </w:r>
      <w:r>
        <w:rPr>
          <w:rFonts w:ascii="Tahoma" w:hAnsi="Tahoma"/>
          <w:spacing w:val="-24"/>
        </w:rPr>
        <w:t> </w:t>
      </w:r>
      <w:r>
        <w:rPr>
          <w:rFonts w:ascii="Tahoma" w:hAnsi="Tahoma"/>
        </w:rPr>
        <w:t>(PFAE):</w:t>
      </w:r>
      <w:r>
        <w:rPr>
          <w:rFonts w:ascii="Tahoma" w:hAnsi="Tahoma"/>
          <w:spacing w:val="-23"/>
        </w:rPr>
        <w:t> </w:t>
      </w:r>
      <w:r>
        <w:rPr>
          <w:rFonts w:ascii="Tahoma" w:hAnsi="Tahoma"/>
        </w:rPr>
        <w:t>concedieron</w:t>
      </w:r>
      <w:r>
        <w:rPr>
          <w:rFonts w:ascii="Tahoma" w:hAnsi="Tahoma"/>
          <w:spacing w:val="-26"/>
        </w:rPr>
        <w:t> </w:t>
      </w:r>
      <w:r>
        <w:rPr>
          <w:rFonts w:ascii="Tahoma" w:hAnsi="Tahoma"/>
        </w:rPr>
        <w:t>1 proyectos</w:t>
      </w:r>
      <w:r>
        <w:rPr>
          <w:rFonts w:ascii="Tahoma" w:hAnsi="Tahoma"/>
          <w:spacing w:val="-29"/>
        </w:rPr>
        <w:t> </w:t>
      </w:r>
      <w:r>
        <w:rPr>
          <w:rFonts w:ascii="Tahoma" w:hAnsi="Tahoma"/>
        </w:rPr>
        <w:t>por</w:t>
      </w:r>
      <w:r>
        <w:rPr>
          <w:rFonts w:ascii="Tahoma" w:hAnsi="Tahoma"/>
          <w:spacing w:val="-29"/>
        </w:rPr>
        <w:t> </w:t>
      </w:r>
      <w:r>
        <w:rPr>
          <w:rFonts w:ascii="Tahoma" w:hAnsi="Tahoma"/>
        </w:rPr>
        <w:t>importe</w:t>
      </w:r>
      <w:r>
        <w:rPr>
          <w:rFonts w:ascii="Tahoma" w:hAnsi="Tahoma"/>
          <w:spacing w:val="-28"/>
        </w:rPr>
        <w:t> </w:t>
      </w:r>
      <w:r>
        <w:rPr>
          <w:rFonts w:ascii="Tahoma" w:hAnsi="Tahoma"/>
        </w:rPr>
        <w:t>de</w:t>
      </w:r>
      <w:r>
        <w:rPr>
          <w:rFonts w:ascii="Tahoma" w:hAnsi="Tahoma"/>
          <w:spacing w:val="-30"/>
        </w:rPr>
        <w:t> </w:t>
      </w:r>
      <w:r>
        <w:rPr>
          <w:rFonts w:ascii="Tahoma" w:hAnsi="Tahoma"/>
        </w:rPr>
        <w:t>369.171,00€</w:t>
      </w:r>
      <w:r>
        <w:rPr>
          <w:rFonts w:ascii="Tahoma" w:hAnsi="Tahoma"/>
          <w:spacing w:val="-30"/>
        </w:rPr>
        <w:t> </w:t>
      </w:r>
      <w:r>
        <w:rPr>
          <w:rFonts w:ascii="Tahoma" w:hAnsi="Tahoma"/>
        </w:rPr>
        <w:t>,</w:t>
      </w:r>
      <w:r>
        <w:rPr>
          <w:rFonts w:ascii="Tahoma" w:hAnsi="Tahoma"/>
          <w:spacing w:val="-30"/>
        </w:rPr>
        <w:t> </w:t>
      </w:r>
      <w:r>
        <w:rPr>
          <w:rFonts w:ascii="Tahoma" w:hAnsi="Tahoma"/>
        </w:rPr>
        <w:t>denominado</w:t>
      </w:r>
      <w:r>
        <w:rPr>
          <w:rFonts w:ascii="Tahoma" w:hAnsi="Tahoma"/>
          <w:spacing w:val="-31"/>
        </w:rPr>
        <w:t> </w:t>
      </w:r>
      <w:r>
        <w:rPr>
          <w:rFonts w:ascii="Tahoma" w:hAnsi="Tahoma"/>
        </w:rPr>
        <w:t>"Tías</w:t>
      </w:r>
      <w:r>
        <w:rPr>
          <w:rFonts w:ascii="Tahoma" w:hAnsi="Tahoma"/>
          <w:spacing w:val="-28"/>
        </w:rPr>
        <w:t> </w:t>
      </w:r>
      <w:r>
        <w:rPr>
          <w:rFonts w:ascii="Tahoma" w:hAnsi="Tahoma"/>
        </w:rPr>
        <w:t>embellece</w:t>
      </w:r>
      <w:r>
        <w:rPr>
          <w:rFonts w:ascii="Tahoma" w:hAnsi="Tahoma"/>
          <w:spacing w:val="-30"/>
        </w:rPr>
        <w:t> </w:t>
      </w:r>
      <w:r>
        <w:rPr>
          <w:rFonts w:ascii="Tahoma" w:hAnsi="Tahoma"/>
        </w:rPr>
        <w:t>con</w:t>
      </w:r>
      <w:r>
        <w:rPr>
          <w:rFonts w:ascii="Tahoma" w:hAnsi="Tahoma"/>
          <w:spacing w:val="-31"/>
        </w:rPr>
        <w:t> </w:t>
      </w:r>
      <w:r>
        <w:rPr>
          <w:rFonts w:ascii="Tahoma" w:hAnsi="Tahoma"/>
        </w:rPr>
        <w:t>verde", pendiente de inicio de la ejecución, se contratarán 5 personas que forman el equipo</w:t>
      </w:r>
      <w:r>
        <w:rPr>
          <w:rFonts w:ascii="Tahoma" w:hAnsi="Tahoma"/>
          <w:spacing w:val="-29"/>
        </w:rPr>
        <w:t> </w:t>
      </w:r>
      <w:r>
        <w:rPr>
          <w:rFonts w:ascii="Tahoma" w:hAnsi="Tahoma"/>
        </w:rPr>
        <w:t>y</w:t>
      </w:r>
      <w:r>
        <w:rPr>
          <w:rFonts w:ascii="Tahoma" w:hAnsi="Tahoma"/>
          <w:spacing w:val="-28"/>
        </w:rPr>
        <w:t> </w:t>
      </w:r>
      <w:r>
        <w:rPr>
          <w:rFonts w:ascii="Tahoma" w:hAnsi="Tahoma"/>
        </w:rPr>
        <w:t>15</w:t>
      </w:r>
      <w:r>
        <w:rPr>
          <w:rFonts w:ascii="Tahoma" w:hAnsi="Tahoma"/>
          <w:spacing w:val="-26"/>
        </w:rPr>
        <w:t> </w:t>
      </w:r>
      <w:r>
        <w:rPr>
          <w:rFonts w:ascii="Tahoma" w:hAnsi="Tahoma"/>
        </w:rPr>
        <w:t>alumnos/as/trabajadores/as</w:t>
      </w:r>
    </w:p>
    <w:p>
      <w:pPr>
        <w:spacing w:after="0" w:line="242" w:lineRule="auto"/>
        <w:rPr>
          <w:rFonts w:ascii="Tahoma" w:hAnsi="Tahoma"/>
        </w:rPr>
        <w:sectPr>
          <w:pgSz w:w="11910" w:h="16840"/>
          <w:pgMar w:header="1217" w:footer="0" w:top="2740" w:bottom="280" w:left="1300" w:right="1440"/>
        </w:sectPr>
      </w:pPr>
    </w:p>
    <w:p>
      <w:pPr>
        <w:pStyle w:val="BodyText"/>
        <w:rPr>
          <w:rFonts w:ascii="Tahoma"/>
          <w:sz w:val="20"/>
        </w:rPr>
      </w:pPr>
    </w:p>
    <w:p>
      <w:pPr>
        <w:pStyle w:val="BodyText"/>
        <w:spacing w:before="5"/>
        <w:rPr>
          <w:rFonts w:ascii="Tahoma"/>
          <w:sz w:val="17"/>
        </w:rPr>
      </w:pPr>
    </w:p>
    <w:p>
      <w:pPr>
        <w:pStyle w:val="Heading4"/>
      </w:pPr>
      <w:r>
        <w:rPr/>
        <w:t>BIENESTAR ANIMAL</w:t>
      </w:r>
    </w:p>
    <w:p>
      <w:pPr>
        <w:pStyle w:val="BodyText"/>
        <w:rPr>
          <w:b/>
          <w:sz w:val="20"/>
        </w:rPr>
      </w:pPr>
    </w:p>
    <w:p>
      <w:pPr>
        <w:pStyle w:val="BodyText"/>
        <w:rPr>
          <w:b/>
          <w:sz w:val="20"/>
        </w:rPr>
      </w:pPr>
    </w:p>
    <w:p>
      <w:pPr>
        <w:pStyle w:val="BodyText"/>
        <w:spacing w:before="10"/>
        <w:rPr>
          <w:b/>
          <w:sz w:val="15"/>
        </w:rPr>
      </w:pPr>
      <w:r>
        <w:rPr/>
        <w:drawing>
          <wp:anchor distT="0" distB="0" distL="0" distR="0" allowOverlap="1" layoutInCell="1" locked="0" behindDoc="0" simplePos="0" relativeHeight="40">
            <wp:simplePos x="0" y="0"/>
            <wp:positionH relativeFrom="page">
              <wp:posOffset>1080135</wp:posOffset>
            </wp:positionH>
            <wp:positionV relativeFrom="paragraph">
              <wp:posOffset>141219</wp:posOffset>
            </wp:positionV>
            <wp:extent cx="5327505" cy="5604890"/>
            <wp:effectExtent l="0" t="0" r="0" b="0"/>
            <wp:wrapTopAndBottom/>
            <wp:docPr id="155" name="image78.png"/>
            <wp:cNvGraphicFramePr>
              <a:graphicFrameLocks noChangeAspect="1"/>
            </wp:cNvGraphicFramePr>
            <a:graphic>
              <a:graphicData uri="http://schemas.openxmlformats.org/drawingml/2006/picture">
                <pic:pic>
                  <pic:nvPicPr>
                    <pic:cNvPr id="156" name="image78.png"/>
                    <pic:cNvPicPr/>
                  </pic:nvPicPr>
                  <pic:blipFill>
                    <a:blip r:embed="rId84" cstate="print"/>
                    <a:stretch>
                      <a:fillRect/>
                    </a:stretch>
                  </pic:blipFill>
                  <pic:spPr>
                    <a:xfrm>
                      <a:off x="0" y="0"/>
                      <a:ext cx="5327505" cy="5604890"/>
                    </a:xfrm>
                    <a:prstGeom prst="rect">
                      <a:avLst/>
                    </a:prstGeom>
                  </pic:spPr>
                </pic:pic>
              </a:graphicData>
            </a:graphic>
          </wp:anchor>
        </w:drawing>
      </w:r>
    </w:p>
    <w:p>
      <w:pPr>
        <w:spacing w:after="0"/>
        <w:rPr>
          <w:sz w:val="15"/>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01"/>
        <w:rPr>
          <w:sz w:val="20"/>
        </w:rPr>
      </w:pPr>
      <w:r>
        <w:rPr>
          <w:sz w:val="20"/>
        </w:rPr>
        <w:drawing>
          <wp:inline distT="0" distB="0" distL="0" distR="0">
            <wp:extent cx="5303237" cy="3795903"/>
            <wp:effectExtent l="0" t="0" r="0" b="0"/>
            <wp:docPr id="157" name="image79.jpeg"/>
            <wp:cNvGraphicFramePr>
              <a:graphicFrameLocks noChangeAspect="1"/>
            </wp:cNvGraphicFramePr>
            <a:graphic>
              <a:graphicData uri="http://schemas.openxmlformats.org/drawingml/2006/picture">
                <pic:pic>
                  <pic:nvPicPr>
                    <pic:cNvPr id="158" name="image79.jpeg"/>
                    <pic:cNvPicPr/>
                  </pic:nvPicPr>
                  <pic:blipFill>
                    <a:blip r:embed="rId85" cstate="print"/>
                    <a:stretch>
                      <a:fillRect/>
                    </a:stretch>
                  </pic:blipFill>
                  <pic:spPr>
                    <a:xfrm>
                      <a:off x="0" y="0"/>
                      <a:ext cx="5303237" cy="3795903"/>
                    </a:xfrm>
                    <a:prstGeom prst="rect">
                      <a:avLst/>
                    </a:prstGeom>
                  </pic:spPr>
                </pic:pic>
              </a:graphicData>
            </a:graphic>
          </wp:inline>
        </w:drawing>
      </w:r>
      <w:r>
        <w:rPr>
          <w:sz w:val="20"/>
        </w:rPr>
      </w:r>
    </w:p>
    <w:p>
      <w:pPr>
        <w:pStyle w:val="BodyText"/>
        <w:spacing w:before="5"/>
        <w:rPr>
          <w:b/>
          <w:sz w:val="17"/>
        </w:rPr>
      </w:pPr>
      <w:r>
        <w:rPr/>
        <w:drawing>
          <wp:anchor distT="0" distB="0" distL="0" distR="0" allowOverlap="1" layoutInCell="1" locked="0" behindDoc="0" simplePos="0" relativeHeight="41">
            <wp:simplePos x="0" y="0"/>
            <wp:positionH relativeFrom="page">
              <wp:posOffset>1328412</wp:posOffset>
            </wp:positionH>
            <wp:positionV relativeFrom="paragraph">
              <wp:posOffset>152654</wp:posOffset>
            </wp:positionV>
            <wp:extent cx="4971036" cy="2052256"/>
            <wp:effectExtent l="0" t="0" r="0" b="0"/>
            <wp:wrapTopAndBottom/>
            <wp:docPr id="159" name="image80.jpeg"/>
            <wp:cNvGraphicFramePr>
              <a:graphicFrameLocks noChangeAspect="1"/>
            </wp:cNvGraphicFramePr>
            <a:graphic>
              <a:graphicData uri="http://schemas.openxmlformats.org/drawingml/2006/picture">
                <pic:pic>
                  <pic:nvPicPr>
                    <pic:cNvPr id="160" name="image80.jpeg"/>
                    <pic:cNvPicPr/>
                  </pic:nvPicPr>
                  <pic:blipFill>
                    <a:blip r:embed="rId86" cstate="print"/>
                    <a:stretch>
                      <a:fillRect/>
                    </a:stretch>
                  </pic:blipFill>
                  <pic:spPr>
                    <a:xfrm>
                      <a:off x="0" y="0"/>
                      <a:ext cx="4971036" cy="2052256"/>
                    </a:xfrm>
                    <a:prstGeom prst="rect">
                      <a:avLst/>
                    </a:prstGeom>
                  </pic:spPr>
                </pic:pic>
              </a:graphicData>
            </a:graphic>
          </wp:anchor>
        </w:drawing>
      </w:r>
    </w:p>
    <w:p>
      <w:pPr>
        <w:spacing w:after="0"/>
        <w:rPr>
          <w:sz w:val="17"/>
        </w:rPr>
        <w:sectPr>
          <w:pgSz w:w="11910" w:h="16840"/>
          <w:pgMar w:header="1217" w:footer="0" w:top="2740" w:bottom="280" w:left="1300" w:right="1440"/>
        </w:sectPr>
      </w:pPr>
    </w:p>
    <w:p>
      <w:pPr>
        <w:pStyle w:val="BodyText"/>
        <w:rPr>
          <w:b/>
          <w:sz w:val="20"/>
        </w:rPr>
      </w:pPr>
    </w:p>
    <w:p>
      <w:pPr>
        <w:pStyle w:val="BodyText"/>
        <w:rPr>
          <w:b/>
          <w:sz w:val="20"/>
        </w:rPr>
      </w:pPr>
    </w:p>
    <w:p>
      <w:pPr>
        <w:pStyle w:val="BodyText"/>
        <w:spacing w:before="5"/>
        <w:rPr>
          <w:b/>
          <w:sz w:val="11"/>
        </w:rPr>
      </w:pPr>
    </w:p>
    <w:p>
      <w:pPr>
        <w:pStyle w:val="BodyText"/>
        <w:ind w:left="475"/>
        <w:rPr>
          <w:sz w:val="20"/>
        </w:rPr>
      </w:pPr>
      <w:r>
        <w:rPr>
          <w:sz w:val="20"/>
        </w:rPr>
        <w:drawing>
          <wp:inline distT="0" distB="0" distL="0" distR="0">
            <wp:extent cx="5281520" cy="2956750"/>
            <wp:effectExtent l="0" t="0" r="0" b="0"/>
            <wp:docPr id="161" name="image81.jpeg"/>
            <wp:cNvGraphicFramePr>
              <a:graphicFrameLocks noChangeAspect="1"/>
            </wp:cNvGraphicFramePr>
            <a:graphic>
              <a:graphicData uri="http://schemas.openxmlformats.org/drawingml/2006/picture">
                <pic:pic>
                  <pic:nvPicPr>
                    <pic:cNvPr id="162" name="image81.jpeg"/>
                    <pic:cNvPicPr/>
                  </pic:nvPicPr>
                  <pic:blipFill>
                    <a:blip r:embed="rId87" cstate="print"/>
                    <a:stretch>
                      <a:fillRect/>
                    </a:stretch>
                  </pic:blipFill>
                  <pic:spPr>
                    <a:xfrm>
                      <a:off x="0" y="0"/>
                      <a:ext cx="5281520" cy="2956750"/>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9"/>
        <w:rPr>
          <w:b/>
          <w:sz w:val="15"/>
        </w:rPr>
      </w:pPr>
    </w:p>
    <w:p>
      <w:pPr>
        <w:spacing w:before="90"/>
        <w:ind w:left="402" w:right="0" w:firstLine="0"/>
        <w:jc w:val="left"/>
        <w:rPr>
          <w:b/>
          <w:sz w:val="24"/>
        </w:rPr>
      </w:pPr>
      <w:r>
        <w:rPr>
          <w:b/>
          <w:sz w:val="24"/>
        </w:rPr>
        <w:t>FIESTAS, EDUCACIÓN, COMERCIO y VENTA AMBULANTE.</w:t>
      </w:r>
    </w:p>
    <w:p>
      <w:pPr>
        <w:spacing w:before="184"/>
        <w:ind w:left="402" w:right="0" w:firstLine="0"/>
        <w:jc w:val="left"/>
        <w:rPr>
          <w:rFonts w:ascii="Calibri"/>
          <w:b/>
          <w:sz w:val="28"/>
        </w:rPr>
      </w:pPr>
      <w:r>
        <w:rPr>
          <w:spacing w:val="-71"/>
          <w:w w:val="100"/>
          <w:sz w:val="28"/>
          <w:u w:val="single"/>
        </w:rPr>
        <w:t> </w:t>
      </w:r>
      <w:r>
        <w:rPr>
          <w:rFonts w:ascii="Calibri"/>
          <w:b/>
          <w:spacing w:val="-4"/>
          <w:sz w:val="28"/>
          <w:u w:val="single"/>
        </w:rPr>
        <w:t>FIESTAS</w:t>
      </w:r>
    </w:p>
    <w:p>
      <w:pPr>
        <w:pStyle w:val="ListParagraph"/>
        <w:numPr>
          <w:ilvl w:val="1"/>
          <w:numId w:val="11"/>
        </w:numPr>
        <w:tabs>
          <w:tab w:pos="1122" w:val="left" w:leader="none"/>
        </w:tabs>
        <w:spacing w:line="252" w:lineRule="auto" w:before="183" w:after="0"/>
        <w:ind w:left="1121" w:right="1209" w:hanging="360"/>
        <w:jc w:val="left"/>
        <w:rPr>
          <w:rFonts w:ascii="Calibri" w:hAnsi="Calibri"/>
          <w:sz w:val="24"/>
        </w:rPr>
      </w:pPr>
      <w:r>
        <w:rPr>
          <w:rFonts w:ascii="Calibri" w:hAnsi="Calibri"/>
          <w:sz w:val="28"/>
        </w:rPr>
        <w:t>Fiestas de Candelaria y San Blas- Tías del 23 de enero al 3</w:t>
      </w:r>
      <w:r>
        <w:rPr>
          <w:rFonts w:ascii="Calibri" w:hAnsi="Calibri"/>
          <w:spacing w:val="-33"/>
          <w:sz w:val="28"/>
        </w:rPr>
        <w:t> </w:t>
      </w:r>
      <w:r>
        <w:rPr>
          <w:rFonts w:ascii="Calibri" w:hAnsi="Calibri"/>
          <w:sz w:val="28"/>
        </w:rPr>
        <w:t>de </w:t>
      </w:r>
      <w:r>
        <w:rPr>
          <w:rFonts w:ascii="Calibri" w:hAnsi="Calibri"/>
          <w:spacing w:val="-3"/>
          <w:sz w:val="28"/>
        </w:rPr>
        <w:t>febrero. </w:t>
      </w:r>
      <w:r>
        <w:rPr>
          <w:rFonts w:ascii="Calibri" w:hAnsi="Calibri"/>
          <w:sz w:val="24"/>
        </w:rPr>
        <w:t>(Más de 60 actos dentro de la programación de las</w:t>
      </w:r>
      <w:r>
        <w:rPr>
          <w:rFonts w:ascii="Calibri" w:hAnsi="Calibri"/>
          <w:spacing w:val="-26"/>
          <w:sz w:val="24"/>
        </w:rPr>
        <w:t> </w:t>
      </w:r>
      <w:r>
        <w:rPr>
          <w:rFonts w:ascii="Calibri" w:hAnsi="Calibri"/>
          <w:sz w:val="24"/>
        </w:rPr>
        <w:t>fiestas)</w:t>
      </w:r>
    </w:p>
    <w:p>
      <w:pPr>
        <w:pStyle w:val="ListParagraph"/>
        <w:numPr>
          <w:ilvl w:val="1"/>
          <w:numId w:val="11"/>
        </w:numPr>
        <w:tabs>
          <w:tab w:pos="1122" w:val="left" w:leader="none"/>
        </w:tabs>
        <w:spacing w:line="240" w:lineRule="auto" w:before="5" w:after="0"/>
        <w:ind w:left="1122" w:right="0" w:hanging="361"/>
        <w:jc w:val="left"/>
        <w:rPr>
          <w:rFonts w:ascii="Calibri"/>
          <w:sz w:val="28"/>
        </w:rPr>
      </w:pPr>
      <w:r>
        <w:rPr>
          <w:rFonts w:ascii="Calibri"/>
          <w:sz w:val="28"/>
        </w:rPr>
        <w:t>Carnaval del 6 al 8 de</w:t>
      </w:r>
      <w:r>
        <w:rPr>
          <w:rFonts w:ascii="Calibri"/>
          <w:spacing w:val="-7"/>
          <w:sz w:val="28"/>
        </w:rPr>
        <w:t> </w:t>
      </w:r>
      <w:r>
        <w:rPr>
          <w:rFonts w:ascii="Calibri"/>
          <w:sz w:val="28"/>
        </w:rPr>
        <w:t>marzo</w:t>
      </w:r>
    </w:p>
    <w:p>
      <w:pPr>
        <w:pStyle w:val="ListParagraph"/>
        <w:numPr>
          <w:ilvl w:val="1"/>
          <w:numId w:val="11"/>
        </w:numPr>
        <w:tabs>
          <w:tab w:pos="1122" w:val="left" w:leader="none"/>
        </w:tabs>
        <w:spacing w:line="240" w:lineRule="auto" w:before="21" w:after="0"/>
        <w:ind w:left="1122" w:right="0" w:hanging="361"/>
        <w:jc w:val="left"/>
        <w:rPr>
          <w:rFonts w:ascii="Calibri" w:hAnsi="Calibri"/>
          <w:sz w:val="24"/>
        </w:rPr>
      </w:pPr>
      <w:r>
        <w:rPr>
          <w:rFonts w:ascii="Calibri" w:hAnsi="Calibri"/>
          <w:sz w:val="28"/>
        </w:rPr>
        <w:t>Fiesta Hindú Holi </w:t>
      </w:r>
      <w:r>
        <w:rPr>
          <w:rFonts w:ascii="Calibri" w:hAnsi="Calibri"/>
          <w:sz w:val="24"/>
        </w:rPr>
        <w:t>(30 de</w:t>
      </w:r>
      <w:r>
        <w:rPr>
          <w:rFonts w:ascii="Calibri" w:hAnsi="Calibri"/>
          <w:spacing w:val="-6"/>
          <w:sz w:val="24"/>
        </w:rPr>
        <w:t> </w:t>
      </w:r>
      <w:r>
        <w:rPr>
          <w:rFonts w:ascii="Calibri" w:hAnsi="Calibri"/>
          <w:sz w:val="24"/>
        </w:rPr>
        <w:t>marzo)</w:t>
      </w:r>
    </w:p>
    <w:p>
      <w:pPr>
        <w:pStyle w:val="Heading2"/>
        <w:numPr>
          <w:ilvl w:val="1"/>
          <w:numId w:val="11"/>
        </w:numPr>
        <w:tabs>
          <w:tab w:pos="1122" w:val="left" w:leader="none"/>
        </w:tabs>
        <w:spacing w:line="240" w:lineRule="auto" w:before="18" w:after="0"/>
        <w:ind w:left="1122" w:right="0" w:hanging="361"/>
        <w:jc w:val="left"/>
      </w:pPr>
      <w:r>
        <w:rPr/>
        <w:t>Fiestas de San Jose </w:t>
      </w:r>
      <w:r>
        <w:rPr>
          <w:spacing w:val="-3"/>
        </w:rPr>
        <w:t>Obrero </w:t>
      </w:r>
      <w:r>
        <w:rPr/>
        <w:t>– Asomada del 24 de abril al 3 de</w:t>
      </w:r>
      <w:r>
        <w:rPr>
          <w:spacing w:val="-11"/>
        </w:rPr>
        <w:t> </w:t>
      </w:r>
      <w:r>
        <w:rPr>
          <w:spacing w:val="-3"/>
        </w:rPr>
        <w:t>mayo.</w:t>
      </w:r>
    </w:p>
    <w:p>
      <w:pPr>
        <w:pStyle w:val="BodyText"/>
        <w:spacing w:before="18"/>
        <w:ind w:left="1121"/>
        <w:rPr>
          <w:rFonts w:ascii="Calibri" w:hAnsi="Calibri"/>
        </w:rPr>
      </w:pPr>
      <w:r>
        <w:rPr>
          <w:rFonts w:ascii="Calibri" w:hAnsi="Calibri"/>
        </w:rPr>
        <w:t>(41 actos dentro de la programación de las fiestas)</w:t>
      </w:r>
    </w:p>
    <w:p>
      <w:pPr>
        <w:pStyle w:val="ListParagraph"/>
        <w:numPr>
          <w:ilvl w:val="1"/>
          <w:numId w:val="11"/>
        </w:numPr>
        <w:tabs>
          <w:tab w:pos="1122" w:val="left" w:leader="none"/>
        </w:tabs>
        <w:spacing w:line="252" w:lineRule="auto" w:before="19" w:after="0"/>
        <w:ind w:left="1121" w:right="326" w:hanging="360"/>
        <w:jc w:val="left"/>
        <w:rPr>
          <w:rFonts w:ascii="Calibri" w:hAnsi="Calibri"/>
          <w:sz w:val="24"/>
        </w:rPr>
      </w:pPr>
      <w:r>
        <w:rPr>
          <w:rFonts w:ascii="Calibri" w:hAnsi="Calibri"/>
          <w:sz w:val="28"/>
        </w:rPr>
        <w:t>Fiestas de San Pedro- Mácher del 20 de junio al 29 de junio. </w:t>
      </w:r>
      <w:r>
        <w:rPr>
          <w:rFonts w:ascii="Calibri" w:hAnsi="Calibri"/>
          <w:sz w:val="24"/>
        </w:rPr>
        <w:t>(28</w:t>
      </w:r>
      <w:r>
        <w:rPr>
          <w:rFonts w:ascii="Calibri" w:hAnsi="Calibri"/>
          <w:spacing w:val="-38"/>
          <w:sz w:val="24"/>
        </w:rPr>
        <w:t> </w:t>
      </w:r>
      <w:r>
        <w:rPr>
          <w:rFonts w:ascii="Calibri" w:hAnsi="Calibri"/>
          <w:sz w:val="24"/>
        </w:rPr>
        <w:t>actos dentro de la programación de las</w:t>
      </w:r>
      <w:r>
        <w:rPr>
          <w:rFonts w:ascii="Calibri" w:hAnsi="Calibri"/>
          <w:spacing w:val="-4"/>
          <w:sz w:val="24"/>
        </w:rPr>
        <w:t> </w:t>
      </w:r>
      <w:r>
        <w:rPr>
          <w:rFonts w:ascii="Calibri" w:hAnsi="Calibri"/>
          <w:sz w:val="24"/>
        </w:rPr>
        <w:t>fiestas)</w:t>
      </w:r>
    </w:p>
    <w:p>
      <w:pPr>
        <w:pStyle w:val="ListParagraph"/>
        <w:numPr>
          <w:ilvl w:val="1"/>
          <w:numId w:val="11"/>
        </w:numPr>
        <w:tabs>
          <w:tab w:pos="1122" w:val="left" w:leader="none"/>
        </w:tabs>
        <w:spacing w:line="252" w:lineRule="auto" w:before="6" w:after="0"/>
        <w:ind w:left="1121" w:right="597" w:hanging="360"/>
        <w:jc w:val="left"/>
        <w:rPr>
          <w:rFonts w:ascii="Calibri" w:hAnsi="Calibri"/>
          <w:sz w:val="24"/>
        </w:rPr>
      </w:pPr>
      <w:r>
        <w:rPr>
          <w:rFonts w:ascii="Calibri" w:hAnsi="Calibri"/>
          <w:sz w:val="28"/>
        </w:rPr>
        <w:t>Fiestas de la Magdalena – Masdache del 11 al 22 de julio. </w:t>
      </w:r>
      <w:r>
        <w:rPr>
          <w:rFonts w:ascii="Calibri" w:hAnsi="Calibri"/>
          <w:sz w:val="24"/>
        </w:rPr>
        <w:t>(29</w:t>
      </w:r>
      <w:r>
        <w:rPr>
          <w:rFonts w:ascii="Calibri" w:hAnsi="Calibri"/>
          <w:spacing w:val="-30"/>
          <w:sz w:val="24"/>
        </w:rPr>
        <w:t> </w:t>
      </w:r>
      <w:r>
        <w:rPr>
          <w:rFonts w:ascii="Calibri" w:hAnsi="Calibri"/>
          <w:sz w:val="24"/>
        </w:rPr>
        <w:t>actos dentro de la programación de las</w:t>
      </w:r>
      <w:r>
        <w:rPr>
          <w:rFonts w:ascii="Calibri" w:hAnsi="Calibri"/>
          <w:spacing w:val="-4"/>
          <w:sz w:val="24"/>
        </w:rPr>
        <w:t> </w:t>
      </w:r>
      <w:r>
        <w:rPr>
          <w:rFonts w:ascii="Calibri" w:hAnsi="Calibri"/>
          <w:sz w:val="24"/>
        </w:rPr>
        <w:t>fiestas)</w:t>
      </w:r>
    </w:p>
    <w:p>
      <w:pPr>
        <w:pStyle w:val="ListParagraph"/>
        <w:numPr>
          <w:ilvl w:val="1"/>
          <w:numId w:val="11"/>
        </w:numPr>
        <w:tabs>
          <w:tab w:pos="1122" w:val="left" w:leader="none"/>
        </w:tabs>
        <w:spacing w:line="254" w:lineRule="auto" w:before="6" w:after="0"/>
        <w:ind w:left="1121" w:right="593" w:hanging="360"/>
        <w:jc w:val="left"/>
        <w:rPr>
          <w:rFonts w:ascii="Calibri" w:hAnsi="Calibri"/>
          <w:sz w:val="24"/>
        </w:rPr>
      </w:pPr>
      <w:r>
        <w:rPr>
          <w:rFonts w:ascii="Calibri" w:hAnsi="Calibri"/>
          <w:sz w:val="28"/>
        </w:rPr>
        <w:t>Fiestas de la Magdalena y Sgdo. </w:t>
      </w:r>
      <w:r>
        <w:rPr>
          <w:rFonts w:ascii="Calibri" w:hAnsi="Calibri"/>
          <w:spacing w:val="-3"/>
          <w:sz w:val="28"/>
        </w:rPr>
        <w:t>Corazón </w:t>
      </w:r>
      <w:r>
        <w:rPr>
          <w:rFonts w:ascii="Calibri" w:hAnsi="Calibri"/>
          <w:sz w:val="28"/>
        </w:rPr>
        <w:t>de Jesús – Conil del 18 al 28 de julio. </w:t>
      </w:r>
      <w:r>
        <w:rPr>
          <w:rFonts w:ascii="Calibri" w:hAnsi="Calibri"/>
          <w:sz w:val="24"/>
        </w:rPr>
        <w:t>(32 actos dentro de la programación de las</w:t>
      </w:r>
      <w:r>
        <w:rPr>
          <w:rFonts w:ascii="Calibri" w:hAnsi="Calibri"/>
          <w:spacing w:val="-19"/>
          <w:sz w:val="24"/>
        </w:rPr>
        <w:t> </w:t>
      </w:r>
      <w:r>
        <w:rPr>
          <w:rFonts w:ascii="Calibri" w:hAnsi="Calibri"/>
          <w:sz w:val="24"/>
        </w:rPr>
        <w:t>fiestas)</w:t>
      </w:r>
    </w:p>
    <w:p>
      <w:pPr>
        <w:pStyle w:val="ListParagraph"/>
        <w:numPr>
          <w:ilvl w:val="1"/>
          <w:numId w:val="11"/>
        </w:numPr>
        <w:tabs>
          <w:tab w:pos="1122" w:val="left" w:leader="none"/>
        </w:tabs>
        <w:spacing w:line="252" w:lineRule="auto" w:before="0" w:after="0"/>
        <w:ind w:left="1121" w:right="348" w:hanging="360"/>
        <w:jc w:val="left"/>
        <w:rPr>
          <w:rFonts w:ascii="Calibri" w:hAnsi="Calibri"/>
          <w:sz w:val="24"/>
        </w:rPr>
      </w:pPr>
      <w:r>
        <w:rPr>
          <w:rFonts w:ascii="Calibri" w:hAnsi="Calibri"/>
          <w:sz w:val="28"/>
        </w:rPr>
        <w:t>Fiestas de </w:t>
      </w:r>
      <w:r>
        <w:rPr>
          <w:rFonts w:ascii="Calibri" w:hAnsi="Calibri"/>
          <w:spacing w:val="-3"/>
          <w:sz w:val="28"/>
        </w:rPr>
        <w:t>Nuestra </w:t>
      </w:r>
      <w:r>
        <w:rPr>
          <w:rFonts w:ascii="Calibri" w:hAnsi="Calibri"/>
          <w:sz w:val="28"/>
        </w:rPr>
        <w:t>Señora del Carmen- Puerto del Carmen del 28 de julio al 10 de agosto. </w:t>
      </w:r>
      <w:r>
        <w:rPr>
          <w:rFonts w:ascii="Calibri" w:hAnsi="Calibri"/>
          <w:sz w:val="24"/>
        </w:rPr>
        <w:t>( Más de 90 actos dentro de la programación</w:t>
      </w:r>
      <w:r>
        <w:rPr>
          <w:rFonts w:ascii="Calibri" w:hAnsi="Calibri"/>
          <w:spacing w:val="-34"/>
          <w:sz w:val="24"/>
        </w:rPr>
        <w:t> </w:t>
      </w:r>
      <w:r>
        <w:rPr>
          <w:rFonts w:ascii="Calibri" w:hAnsi="Calibri"/>
          <w:sz w:val="24"/>
        </w:rPr>
        <w:t>delas</w:t>
      </w:r>
    </w:p>
    <w:p>
      <w:pPr>
        <w:pStyle w:val="BodyText"/>
        <w:spacing w:before="2"/>
        <w:ind w:left="1121"/>
        <w:rPr>
          <w:rFonts w:ascii="Calibri"/>
        </w:rPr>
      </w:pPr>
      <w:r>
        <w:rPr>
          <w:rFonts w:ascii="Calibri"/>
        </w:rPr>
        <w:t>fiestas)</w:t>
      </w:r>
    </w:p>
    <w:p>
      <w:pPr>
        <w:spacing w:after="0"/>
        <w:rPr>
          <w:rFonts w:ascii="Calibri"/>
        </w:rPr>
        <w:sectPr>
          <w:pgSz w:w="11910" w:h="16840"/>
          <w:pgMar w:header="1217" w:footer="0" w:top="2740" w:bottom="280" w:left="1300" w:right="1440"/>
        </w:sectPr>
      </w:pPr>
    </w:p>
    <w:p>
      <w:pPr>
        <w:pStyle w:val="BodyText"/>
        <w:rPr>
          <w:rFonts w:ascii="Calibri"/>
          <w:sz w:val="20"/>
        </w:rPr>
      </w:pPr>
    </w:p>
    <w:p>
      <w:pPr>
        <w:pStyle w:val="BodyText"/>
        <w:rPr>
          <w:rFonts w:ascii="Calibri"/>
          <w:sz w:val="21"/>
        </w:rPr>
      </w:pPr>
    </w:p>
    <w:p>
      <w:pPr>
        <w:pStyle w:val="Heading2"/>
        <w:numPr>
          <w:ilvl w:val="1"/>
          <w:numId w:val="11"/>
        </w:numPr>
        <w:tabs>
          <w:tab w:pos="1122" w:val="left" w:leader="none"/>
        </w:tabs>
        <w:spacing w:line="254" w:lineRule="auto" w:before="44" w:after="0"/>
        <w:ind w:left="1121" w:right="1680" w:hanging="360"/>
        <w:jc w:val="left"/>
      </w:pPr>
      <w:r>
        <w:rPr/>
        <w:t>Atención </w:t>
      </w:r>
      <w:r>
        <w:rPr>
          <w:spacing w:val="-3"/>
        </w:rPr>
        <w:t>durante </w:t>
      </w:r>
      <w:r>
        <w:rPr/>
        <w:t>todo el año a los </w:t>
      </w:r>
      <w:r>
        <w:rPr>
          <w:spacing w:val="-3"/>
        </w:rPr>
        <w:t>diferentes </w:t>
      </w:r>
      <w:r>
        <w:rPr/>
        <w:t>medios de comunicación (radio/tv) </w:t>
      </w:r>
      <w:r>
        <w:rPr>
          <w:spacing w:val="-3"/>
        </w:rPr>
        <w:t>para </w:t>
      </w:r>
      <w:r>
        <w:rPr/>
        <w:t>las diferentes</w:t>
      </w:r>
      <w:r>
        <w:rPr>
          <w:spacing w:val="-15"/>
        </w:rPr>
        <w:t> </w:t>
      </w:r>
      <w:r>
        <w:rPr/>
        <w:t>fiestas</w:t>
      </w:r>
    </w:p>
    <w:p>
      <w:pPr>
        <w:pStyle w:val="ListParagraph"/>
        <w:numPr>
          <w:ilvl w:val="1"/>
          <w:numId w:val="11"/>
        </w:numPr>
        <w:tabs>
          <w:tab w:pos="1122" w:val="left" w:leader="none"/>
        </w:tabs>
        <w:spacing w:line="340" w:lineRule="exact" w:before="0" w:after="0"/>
        <w:ind w:left="1122" w:right="0" w:hanging="361"/>
        <w:jc w:val="left"/>
        <w:rPr>
          <w:rFonts w:ascii="Calibri"/>
          <w:b/>
          <w:sz w:val="28"/>
        </w:rPr>
      </w:pPr>
      <w:r>
        <w:rPr>
          <w:rFonts w:ascii="Calibri"/>
          <w:b/>
          <w:sz w:val="28"/>
        </w:rPr>
        <w:t>Navidad</w:t>
      </w:r>
      <w:r>
        <w:rPr>
          <w:rFonts w:ascii="Calibri"/>
          <w:b/>
          <w:spacing w:val="-1"/>
          <w:sz w:val="28"/>
        </w:rPr>
        <w:t> </w:t>
      </w:r>
      <w:r>
        <w:rPr>
          <w:rFonts w:ascii="Calibri"/>
          <w:b/>
          <w:sz w:val="28"/>
        </w:rPr>
        <w:t>:</w:t>
      </w:r>
    </w:p>
    <w:p>
      <w:pPr>
        <w:pStyle w:val="ListParagraph"/>
        <w:numPr>
          <w:ilvl w:val="2"/>
          <w:numId w:val="11"/>
        </w:numPr>
        <w:tabs>
          <w:tab w:pos="1481" w:val="left" w:leader="none"/>
          <w:tab w:pos="1482" w:val="left" w:leader="none"/>
        </w:tabs>
        <w:spacing w:line="254" w:lineRule="auto" w:before="20" w:after="0"/>
        <w:ind w:left="1482" w:right="846" w:hanging="360"/>
        <w:jc w:val="left"/>
        <w:rPr>
          <w:rFonts w:ascii="Calibri" w:hAnsi="Calibri"/>
          <w:sz w:val="28"/>
        </w:rPr>
      </w:pPr>
      <w:r>
        <w:rPr>
          <w:rFonts w:ascii="Calibri" w:hAnsi="Calibri"/>
          <w:sz w:val="28"/>
        </w:rPr>
        <w:t>Inauguración de Belén de Tías el 4 de diciembre y día 5 el</w:t>
      </w:r>
      <w:r>
        <w:rPr>
          <w:rFonts w:ascii="Calibri" w:hAnsi="Calibri"/>
          <w:spacing w:val="-39"/>
          <w:sz w:val="28"/>
        </w:rPr>
        <w:t> </w:t>
      </w:r>
      <w:r>
        <w:rPr>
          <w:rFonts w:ascii="Calibri" w:hAnsi="Calibri"/>
          <w:sz w:val="28"/>
        </w:rPr>
        <w:t>de Puerto del</w:t>
      </w:r>
      <w:r>
        <w:rPr>
          <w:rFonts w:ascii="Calibri" w:hAnsi="Calibri"/>
          <w:spacing w:val="-3"/>
          <w:sz w:val="28"/>
        </w:rPr>
        <w:t> </w:t>
      </w:r>
      <w:r>
        <w:rPr>
          <w:rFonts w:ascii="Calibri" w:hAnsi="Calibri"/>
          <w:sz w:val="28"/>
        </w:rPr>
        <w:t>Carmen.</w:t>
      </w:r>
    </w:p>
    <w:p>
      <w:pPr>
        <w:pStyle w:val="ListParagraph"/>
        <w:numPr>
          <w:ilvl w:val="2"/>
          <w:numId w:val="11"/>
        </w:numPr>
        <w:tabs>
          <w:tab w:pos="1481" w:val="left" w:leader="none"/>
          <w:tab w:pos="1482" w:val="left" w:leader="none"/>
        </w:tabs>
        <w:spacing w:line="340" w:lineRule="exact" w:before="0" w:after="0"/>
        <w:ind w:left="1482" w:right="0" w:hanging="361"/>
        <w:jc w:val="left"/>
        <w:rPr>
          <w:rFonts w:ascii="Calibri" w:hAnsi="Calibri"/>
          <w:sz w:val="28"/>
        </w:rPr>
      </w:pPr>
      <w:r>
        <w:rPr>
          <w:rFonts w:ascii="Calibri" w:hAnsi="Calibri"/>
          <w:sz w:val="28"/>
        </w:rPr>
        <w:t>Día 23 Encuentro de Ranchos en iglesia de Candelaria, día</w:t>
      </w:r>
      <w:r>
        <w:rPr>
          <w:rFonts w:ascii="Calibri" w:hAnsi="Calibri"/>
          <w:spacing w:val="-19"/>
          <w:sz w:val="28"/>
        </w:rPr>
        <w:t> </w:t>
      </w:r>
      <w:r>
        <w:rPr>
          <w:rFonts w:ascii="Calibri" w:hAnsi="Calibri"/>
          <w:sz w:val="28"/>
        </w:rPr>
        <w:t>25</w:t>
      </w:r>
    </w:p>
    <w:p>
      <w:pPr>
        <w:spacing w:line="254" w:lineRule="auto" w:before="22"/>
        <w:ind w:left="1482" w:right="0" w:firstLine="0"/>
        <w:jc w:val="left"/>
        <w:rPr>
          <w:rFonts w:ascii="Calibri" w:hAnsi="Calibri"/>
          <w:sz w:val="28"/>
        </w:rPr>
      </w:pPr>
      <w:r>
        <w:rPr>
          <w:rFonts w:ascii="Calibri" w:hAnsi="Calibri"/>
          <w:sz w:val="28"/>
        </w:rPr>
        <w:t>encuentro de corales en la iglesia de Puerto del Carmen, día 26 actuación Coro Voces de Tías en el teatro municipal</w:t>
      </w:r>
    </w:p>
    <w:p>
      <w:pPr>
        <w:pStyle w:val="ListParagraph"/>
        <w:numPr>
          <w:ilvl w:val="2"/>
          <w:numId w:val="11"/>
        </w:numPr>
        <w:tabs>
          <w:tab w:pos="1481" w:val="left" w:leader="none"/>
          <w:tab w:pos="1482" w:val="left" w:leader="none"/>
        </w:tabs>
        <w:spacing w:line="252" w:lineRule="auto" w:before="0" w:after="0"/>
        <w:ind w:left="1482" w:right="587" w:hanging="360"/>
        <w:jc w:val="left"/>
        <w:rPr>
          <w:rFonts w:ascii="Calibri" w:hAnsi="Calibri"/>
          <w:sz w:val="28"/>
        </w:rPr>
      </w:pPr>
      <w:r>
        <w:rPr>
          <w:rFonts w:ascii="Calibri" w:hAnsi="Calibri"/>
          <w:sz w:val="28"/>
        </w:rPr>
        <w:t>31 de diciembre fiesta de Fin de Año en la plaza del </w:t>
      </w:r>
      <w:r>
        <w:rPr>
          <w:rFonts w:ascii="Calibri" w:hAnsi="Calibri"/>
          <w:spacing w:val="-4"/>
          <w:sz w:val="28"/>
        </w:rPr>
        <w:t>Varadero</w:t>
      </w:r>
      <w:r>
        <w:rPr>
          <w:rFonts w:ascii="Calibri" w:hAnsi="Calibri"/>
          <w:spacing w:val="-36"/>
          <w:sz w:val="28"/>
        </w:rPr>
        <w:t> </w:t>
      </w:r>
      <w:r>
        <w:rPr>
          <w:rFonts w:ascii="Calibri" w:hAnsi="Calibri"/>
          <w:sz w:val="28"/>
        </w:rPr>
        <w:t>y fuegos</w:t>
      </w:r>
      <w:r>
        <w:rPr>
          <w:rFonts w:ascii="Calibri" w:hAnsi="Calibri"/>
          <w:spacing w:val="-1"/>
          <w:sz w:val="28"/>
        </w:rPr>
        <w:t> </w:t>
      </w:r>
      <w:r>
        <w:rPr>
          <w:rFonts w:ascii="Calibri" w:hAnsi="Calibri"/>
          <w:sz w:val="28"/>
        </w:rPr>
        <w:t>artificiales</w:t>
      </w:r>
    </w:p>
    <w:p>
      <w:pPr>
        <w:pStyle w:val="ListParagraph"/>
        <w:numPr>
          <w:ilvl w:val="2"/>
          <w:numId w:val="11"/>
        </w:numPr>
        <w:tabs>
          <w:tab w:pos="1481" w:val="left" w:leader="none"/>
          <w:tab w:pos="1482" w:val="left" w:leader="none"/>
        </w:tabs>
        <w:spacing w:line="240" w:lineRule="auto" w:before="4" w:after="0"/>
        <w:ind w:left="1482" w:right="0" w:hanging="361"/>
        <w:jc w:val="left"/>
        <w:rPr>
          <w:rFonts w:ascii="Calibri" w:hAnsi="Calibri"/>
          <w:sz w:val="28"/>
        </w:rPr>
      </w:pPr>
      <w:r>
        <w:rPr>
          <w:rFonts w:ascii="Calibri" w:hAnsi="Calibri"/>
          <w:sz w:val="28"/>
        </w:rPr>
        <w:t>2 de enero actuación “El último tren” en el </w:t>
      </w:r>
      <w:r>
        <w:rPr>
          <w:rFonts w:ascii="Calibri" w:hAnsi="Calibri"/>
          <w:spacing w:val="-6"/>
          <w:sz w:val="28"/>
        </w:rPr>
        <w:t>Teatro</w:t>
      </w:r>
      <w:r>
        <w:rPr>
          <w:rFonts w:ascii="Calibri" w:hAnsi="Calibri"/>
          <w:spacing w:val="-16"/>
          <w:sz w:val="28"/>
        </w:rPr>
        <w:t> </w:t>
      </w:r>
      <w:r>
        <w:rPr>
          <w:rFonts w:ascii="Calibri" w:hAnsi="Calibri"/>
          <w:sz w:val="28"/>
        </w:rPr>
        <w:t>Municipal.</w:t>
      </w:r>
    </w:p>
    <w:p>
      <w:pPr>
        <w:pStyle w:val="ListParagraph"/>
        <w:numPr>
          <w:ilvl w:val="2"/>
          <w:numId w:val="11"/>
        </w:numPr>
        <w:tabs>
          <w:tab w:pos="1481" w:val="left" w:leader="none"/>
          <w:tab w:pos="1482" w:val="left" w:leader="none"/>
        </w:tabs>
        <w:spacing w:line="252" w:lineRule="auto" w:before="21" w:after="0"/>
        <w:ind w:left="1482" w:right="928" w:hanging="360"/>
        <w:jc w:val="left"/>
        <w:rPr>
          <w:rFonts w:ascii="Calibri" w:hAnsi="Calibri"/>
          <w:sz w:val="28"/>
        </w:rPr>
      </w:pPr>
      <w:r>
        <w:rPr>
          <w:rFonts w:ascii="Calibri" w:hAnsi="Calibri"/>
          <w:sz w:val="28"/>
        </w:rPr>
        <w:t>3 de enero actuación “Fum, Fum, Fum. Una nochebuena</w:t>
      </w:r>
      <w:r>
        <w:rPr>
          <w:rFonts w:ascii="Calibri" w:hAnsi="Calibri"/>
          <w:spacing w:val="-32"/>
          <w:sz w:val="28"/>
        </w:rPr>
        <w:t> </w:t>
      </w:r>
      <w:r>
        <w:rPr>
          <w:rFonts w:ascii="Calibri" w:hAnsi="Calibri"/>
          <w:sz w:val="28"/>
        </w:rPr>
        <w:t>en familia que nunca</w:t>
      </w:r>
      <w:r>
        <w:rPr>
          <w:rFonts w:ascii="Calibri" w:hAnsi="Calibri"/>
          <w:spacing w:val="-4"/>
          <w:sz w:val="28"/>
        </w:rPr>
        <w:t> </w:t>
      </w:r>
      <w:r>
        <w:rPr>
          <w:rFonts w:ascii="Calibri" w:hAnsi="Calibri"/>
          <w:sz w:val="28"/>
        </w:rPr>
        <w:t>olvidarás”</w:t>
      </w:r>
    </w:p>
    <w:p>
      <w:pPr>
        <w:pStyle w:val="ListParagraph"/>
        <w:numPr>
          <w:ilvl w:val="2"/>
          <w:numId w:val="11"/>
        </w:numPr>
        <w:tabs>
          <w:tab w:pos="1481" w:val="left" w:leader="none"/>
          <w:tab w:pos="1482" w:val="left" w:leader="none"/>
        </w:tabs>
        <w:spacing w:line="254" w:lineRule="auto" w:before="5" w:after="0"/>
        <w:ind w:left="1482" w:right="758" w:hanging="360"/>
        <w:jc w:val="left"/>
        <w:rPr>
          <w:rFonts w:ascii="Calibri" w:hAnsi="Calibri"/>
          <w:sz w:val="28"/>
        </w:rPr>
      </w:pPr>
      <w:r>
        <w:rPr>
          <w:rFonts w:ascii="Calibri" w:hAnsi="Calibri"/>
          <w:sz w:val="28"/>
        </w:rPr>
        <w:t>4</w:t>
      </w:r>
      <w:r>
        <w:rPr>
          <w:rFonts w:ascii="Calibri" w:hAnsi="Calibri"/>
          <w:spacing w:val="-6"/>
          <w:sz w:val="28"/>
        </w:rPr>
        <w:t> </w:t>
      </w:r>
      <w:r>
        <w:rPr>
          <w:rFonts w:ascii="Calibri" w:hAnsi="Calibri"/>
          <w:sz w:val="28"/>
        </w:rPr>
        <w:t>de</w:t>
      </w:r>
      <w:r>
        <w:rPr>
          <w:rFonts w:ascii="Calibri" w:hAnsi="Calibri"/>
          <w:spacing w:val="-5"/>
          <w:sz w:val="28"/>
        </w:rPr>
        <w:t> </w:t>
      </w:r>
      <w:r>
        <w:rPr>
          <w:rFonts w:ascii="Calibri" w:hAnsi="Calibri"/>
          <w:sz w:val="28"/>
        </w:rPr>
        <w:t>enero</w:t>
      </w:r>
      <w:r>
        <w:rPr>
          <w:rFonts w:ascii="Calibri" w:hAnsi="Calibri"/>
          <w:spacing w:val="-5"/>
          <w:sz w:val="28"/>
        </w:rPr>
        <w:t> </w:t>
      </w:r>
      <w:r>
        <w:rPr>
          <w:rFonts w:ascii="Calibri" w:hAnsi="Calibri"/>
          <w:sz w:val="28"/>
        </w:rPr>
        <w:t>en</w:t>
      </w:r>
      <w:r>
        <w:rPr>
          <w:rFonts w:ascii="Calibri" w:hAnsi="Calibri"/>
          <w:spacing w:val="-6"/>
          <w:sz w:val="28"/>
        </w:rPr>
        <w:t> </w:t>
      </w:r>
      <w:r>
        <w:rPr>
          <w:rFonts w:ascii="Calibri" w:hAnsi="Calibri"/>
          <w:sz w:val="28"/>
        </w:rPr>
        <w:t>el</w:t>
      </w:r>
      <w:r>
        <w:rPr>
          <w:rFonts w:ascii="Calibri" w:hAnsi="Calibri"/>
          <w:spacing w:val="-5"/>
          <w:sz w:val="28"/>
        </w:rPr>
        <w:t> </w:t>
      </w:r>
      <w:r>
        <w:rPr>
          <w:rFonts w:ascii="Calibri" w:hAnsi="Calibri"/>
          <w:sz w:val="28"/>
        </w:rPr>
        <w:t>teatro</w:t>
      </w:r>
      <w:r>
        <w:rPr>
          <w:rFonts w:ascii="Calibri" w:hAnsi="Calibri"/>
          <w:spacing w:val="-4"/>
          <w:sz w:val="28"/>
        </w:rPr>
        <w:t> </w:t>
      </w:r>
      <w:r>
        <w:rPr>
          <w:rFonts w:ascii="Calibri" w:hAnsi="Calibri"/>
          <w:sz w:val="28"/>
        </w:rPr>
        <w:t>municipal</w:t>
      </w:r>
      <w:r>
        <w:rPr>
          <w:rFonts w:ascii="Calibri" w:hAnsi="Calibri"/>
          <w:spacing w:val="-4"/>
          <w:sz w:val="28"/>
        </w:rPr>
        <w:t> </w:t>
      </w:r>
      <w:r>
        <w:rPr>
          <w:rFonts w:ascii="Calibri" w:hAnsi="Calibri"/>
          <w:sz w:val="28"/>
        </w:rPr>
        <w:t>musical</w:t>
      </w:r>
      <w:r>
        <w:rPr>
          <w:rFonts w:ascii="Calibri" w:hAnsi="Calibri"/>
          <w:spacing w:val="-6"/>
          <w:sz w:val="28"/>
        </w:rPr>
        <w:t> </w:t>
      </w:r>
      <w:r>
        <w:rPr>
          <w:rFonts w:ascii="Calibri" w:hAnsi="Calibri"/>
          <w:sz w:val="28"/>
        </w:rPr>
        <w:t>infantil</w:t>
      </w:r>
      <w:r>
        <w:rPr>
          <w:rFonts w:ascii="Calibri" w:hAnsi="Calibri"/>
          <w:spacing w:val="-4"/>
          <w:sz w:val="28"/>
        </w:rPr>
        <w:t> </w:t>
      </w:r>
      <w:r>
        <w:rPr>
          <w:rFonts w:ascii="Calibri" w:hAnsi="Calibri"/>
          <w:sz w:val="28"/>
        </w:rPr>
        <w:t>en</w:t>
      </w:r>
      <w:r>
        <w:rPr>
          <w:rFonts w:ascii="Calibri" w:hAnsi="Calibri"/>
          <w:spacing w:val="-7"/>
          <w:sz w:val="28"/>
        </w:rPr>
        <w:t> </w:t>
      </w:r>
      <w:r>
        <w:rPr>
          <w:rFonts w:ascii="Calibri" w:hAnsi="Calibri"/>
          <w:sz w:val="28"/>
        </w:rPr>
        <w:t>el</w:t>
      </w:r>
      <w:r>
        <w:rPr>
          <w:rFonts w:ascii="Calibri" w:hAnsi="Calibri"/>
          <w:spacing w:val="-4"/>
          <w:sz w:val="28"/>
        </w:rPr>
        <w:t> </w:t>
      </w:r>
      <w:r>
        <w:rPr>
          <w:rFonts w:ascii="Calibri" w:hAnsi="Calibri"/>
          <w:sz w:val="28"/>
        </w:rPr>
        <w:t>teatro municipal.</w:t>
      </w:r>
    </w:p>
    <w:p>
      <w:pPr>
        <w:pStyle w:val="ListParagraph"/>
        <w:numPr>
          <w:ilvl w:val="2"/>
          <w:numId w:val="11"/>
        </w:numPr>
        <w:tabs>
          <w:tab w:pos="1481" w:val="left" w:leader="none"/>
          <w:tab w:pos="1482" w:val="left" w:leader="none"/>
        </w:tabs>
        <w:spacing w:line="252" w:lineRule="auto" w:before="0" w:after="0"/>
        <w:ind w:left="1482" w:right="339" w:hanging="360"/>
        <w:jc w:val="left"/>
        <w:rPr>
          <w:rFonts w:ascii="Calibri" w:hAnsi="Calibri"/>
          <w:sz w:val="28"/>
        </w:rPr>
      </w:pPr>
      <w:r>
        <w:rPr>
          <w:rFonts w:ascii="Calibri" w:hAnsi="Calibri"/>
          <w:sz w:val="28"/>
        </w:rPr>
        <w:t>5 de enero 2 cabalgatas de </w:t>
      </w:r>
      <w:r>
        <w:rPr>
          <w:rFonts w:ascii="Calibri" w:hAnsi="Calibri"/>
          <w:spacing w:val="-3"/>
          <w:sz w:val="28"/>
        </w:rPr>
        <w:t>Reyes, </w:t>
      </w:r>
      <w:r>
        <w:rPr>
          <w:rFonts w:ascii="Calibri" w:hAnsi="Calibri"/>
          <w:sz w:val="28"/>
        </w:rPr>
        <w:t>la de Puerto del Carmen por</w:t>
      </w:r>
      <w:r>
        <w:rPr>
          <w:rFonts w:ascii="Calibri" w:hAnsi="Calibri"/>
          <w:spacing w:val="-34"/>
          <w:sz w:val="28"/>
        </w:rPr>
        <w:t> </w:t>
      </w:r>
      <w:r>
        <w:rPr>
          <w:rFonts w:ascii="Calibri" w:hAnsi="Calibri"/>
          <w:sz w:val="28"/>
        </w:rPr>
        <w:t>la mañana y Tías por la</w:t>
      </w:r>
      <w:r>
        <w:rPr>
          <w:rFonts w:ascii="Calibri" w:hAnsi="Calibri"/>
          <w:spacing w:val="-6"/>
          <w:sz w:val="28"/>
        </w:rPr>
        <w:t> </w:t>
      </w:r>
      <w:r>
        <w:rPr>
          <w:rFonts w:ascii="Calibri" w:hAnsi="Calibri"/>
          <w:sz w:val="28"/>
        </w:rPr>
        <w:t>tarde.</w:t>
      </w: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11"/>
        <w:rPr>
          <w:rFonts w:ascii="Calibri"/>
          <w:sz w:val="34"/>
        </w:rPr>
      </w:pPr>
    </w:p>
    <w:p>
      <w:pPr>
        <w:spacing w:before="1"/>
        <w:ind w:left="402" w:right="0" w:firstLine="0"/>
        <w:jc w:val="left"/>
        <w:rPr>
          <w:rFonts w:ascii="Calibri"/>
          <w:b/>
          <w:sz w:val="28"/>
        </w:rPr>
      </w:pPr>
      <w:r>
        <w:rPr>
          <w:spacing w:val="-71"/>
          <w:w w:val="100"/>
          <w:sz w:val="28"/>
          <w:u w:val="single"/>
        </w:rPr>
        <w:t> </w:t>
      </w:r>
      <w:r>
        <w:rPr>
          <w:rFonts w:ascii="Calibri"/>
          <w:b/>
          <w:sz w:val="28"/>
          <w:u w:val="single"/>
        </w:rPr>
        <w:t>COMERCIO</w:t>
      </w:r>
    </w:p>
    <w:p>
      <w:pPr>
        <w:pStyle w:val="ListParagraph"/>
        <w:numPr>
          <w:ilvl w:val="0"/>
          <w:numId w:val="14"/>
        </w:numPr>
        <w:tabs>
          <w:tab w:pos="604" w:val="left" w:leader="none"/>
        </w:tabs>
        <w:spacing w:line="252" w:lineRule="auto" w:before="20" w:after="0"/>
        <w:ind w:left="402" w:right="395" w:firstLine="0"/>
        <w:jc w:val="left"/>
        <w:rPr>
          <w:rFonts w:ascii="Calibri" w:hAnsi="Calibri"/>
          <w:sz w:val="28"/>
        </w:rPr>
      </w:pPr>
      <w:r>
        <w:rPr>
          <w:rFonts w:ascii="Calibri" w:hAnsi="Calibri"/>
          <w:sz w:val="28"/>
        </w:rPr>
        <w:t>El 14 de </w:t>
      </w:r>
      <w:r>
        <w:rPr>
          <w:rFonts w:ascii="Calibri" w:hAnsi="Calibri"/>
          <w:spacing w:val="-3"/>
          <w:sz w:val="28"/>
        </w:rPr>
        <w:t>febrero </w:t>
      </w:r>
      <w:r>
        <w:rPr>
          <w:rFonts w:ascii="Calibri" w:hAnsi="Calibri"/>
          <w:sz w:val="28"/>
        </w:rPr>
        <w:t>campaña de San </w:t>
      </w:r>
      <w:r>
        <w:rPr>
          <w:rFonts w:ascii="Calibri" w:hAnsi="Calibri"/>
          <w:spacing w:val="-3"/>
          <w:sz w:val="28"/>
        </w:rPr>
        <w:t>Valentín </w:t>
      </w:r>
      <w:r>
        <w:rPr>
          <w:rFonts w:ascii="Calibri" w:hAnsi="Calibri"/>
          <w:sz w:val="28"/>
        </w:rPr>
        <w:t>con dinamización en las calles (en Avda. de las playas de Puerto del Carmen por la mañana y en Plaza Leandro Fajardo en Tías por la</w:t>
      </w:r>
      <w:r>
        <w:rPr>
          <w:rFonts w:ascii="Calibri" w:hAnsi="Calibri"/>
          <w:spacing w:val="-11"/>
          <w:sz w:val="28"/>
        </w:rPr>
        <w:t> </w:t>
      </w:r>
      <w:r>
        <w:rPr>
          <w:rFonts w:ascii="Calibri" w:hAnsi="Calibri"/>
          <w:sz w:val="28"/>
        </w:rPr>
        <w:t>tarde)</w:t>
      </w:r>
    </w:p>
    <w:p>
      <w:pPr>
        <w:pStyle w:val="ListParagraph"/>
        <w:numPr>
          <w:ilvl w:val="0"/>
          <w:numId w:val="14"/>
        </w:numPr>
        <w:tabs>
          <w:tab w:pos="604" w:val="left" w:leader="none"/>
        </w:tabs>
        <w:spacing w:line="252" w:lineRule="auto" w:before="169" w:after="0"/>
        <w:ind w:left="402" w:right="317" w:firstLine="0"/>
        <w:jc w:val="left"/>
        <w:rPr>
          <w:rFonts w:ascii="Calibri" w:hAnsi="Calibri"/>
          <w:sz w:val="28"/>
        </w:rPr>
      </w:pPr>
      <w:r>
        <w:rPr>
          <w:rFonts w:ascii="Calibri" w:hAnsi="Calibri"/>
          <w:sz w:val="28"/>
        </w:rPr>
        <w:t>El 3 de </w:t>
      </w:r>
      <w:r>
        <w:rPr>
          <w:rFonts w:ascii="Calibri" w:hAnsi="Calibri"/>
          <w:spacing w:val="-3"/>
          <w:sz w:val="28"/>
        </w:rPr>
        <w:t>mayo </w:t>
      </w:r>
      <w:r>
        <w:rPr>
          <w:rFonts w:ascii="Calibri" w:hAnsi="Calibri"/>
          <w:sz w:val="28"/>
        </w:rPr>
        <w:t>con motivo del Día de la Madre campaña Rasca y Gana</w:t>
      </w:r>
      <w:r>
        <w:rPr>
          <w:rFonts w:ascii="Calibri" w:hAnsi="Calibri"/>
          <w:spacing w:val="-34"/>
          <w:sz w:val="28"/>
        </w:rPr>
        <w:t> </w:t>
      </w:r>
      <w:r>
        <w:rPr>
          <w:rFonts w:ascii="Calibri" w:hAnsi="Calibri"/>
          <w:sz w:val="28"/>
        </w:rPr>
        <w:t>más dinamización (talleres y música) en la Plaza Leandro Fajardo y </w:t>
      </w:r>
      <w:r>
        <w:rPr>
          <w:rFonts w:ascii="Calibri" w:hAnsi="Calibri"/>
          <w:spacing w:val="-3"/>
          <w:sz w:val="28"/>
        </w:rPr>
        <w:t>anexo </w:t>
      </w:r>
      <w:r>
        <w:rPr>
          <w:rFonts w:ascii="Calibri" w:hAnsi="Calibri"/>
          <w:sz w:val="28"/>
        </w:rPr>
        <w:t>a la Panadería San</w:t>
      </w:r>
      <w:r>
        <w:rPr>
          <w:rFonts w:ascii="Calibri" w:hAnsi="Calibri"/>
          <w:spacing w:val="-4"/>
          <w:sz w:val="28"/>
        </w:rPr>
        <w:t> </w:t>
      </w:r>
      <w:r>
        <w:rPr>
          <w:rFonts w:ascii="Calibri" w:hAnsi="Calibri"/>
          <w:sz w:val="28"/>
        </w:rPr>
        <w:t>Antonio</w:t>
      </w:r>
    </w:p>
    <w:p>
      <w:pPr>
        <w:pStyle w:val="ListParagraph"/>
        <w:numPr>
          <w:ilvl w:val="0"/>
          <w:numId w:val="14"/>
        </w:numPr>
        <w:tabs>
          <w:tab w:pos="604" w:val="left" w:leader="none"/>
        </w:tabs>
        <w:spacing w:line="254" w:lineRule="auto" w:before="167" w:after="0"/>
        <w:ind w:left="402" w:right="464" w:firstLine="0"/>
        <w:jc w:val="both"/>
        <w:rPr>
          <w:rFonts w:ascii="Calibri" w:hAnsi="Calibri"/>
          <w:sz w:val="28"/>
        </w:rPr>
      </w:pPr>
      <w:r>
        <w:rPr>
          <w:rFonts w:ascii="Calibri" w:hAnsi="Calibri"/>
          <w:sz w:val="28"/>
        </w:rPr>
        <w:t>Campaña de concurso de escaparatismo de Halloween/Finaos (02 al 23 de</w:t>
      </w:r>
      <w:r>
        <w:rPr>
          <w:rFonts w:ascii="Calibri" w:hAnsi="Calibri"/>
          <w:spacing w:val="-6"/>
          <w:sz w:val="28"/>
        </w:rPr>
        <w:t> </w:t>
      </w:r>
      <w:r>
        <w:rPr>
          <w:rFonts w:ascii="Calibri" w:hAnsi="Calibri"/>
          <w:sz w:val="28"/>
        </w:rPr>
        <w:t>octubre,</w:t>
      </w:r>
      <w:r>
        <w:rPr>
          <w:rFonts w:ascii="Calibri" w:hAnsi="Calibri"/>
          <w:spacing w:val="-6"/>
          <w:sz w:val="28"/>
        </w:rPr>
        <w:t> </w:t>
      </w:r>
      <w:r>
        <w:rPr>
          <w:rFonts w:ascii="Calibri" w:hAnsi="Calibri"/>
          <w:sz w:val="28"/>
        </w:rPr>
        <w:t>entrega</w:t>
      </w:r>
      <w:r>
        <w:rPr>
          <w:rFonts w:ascii="Calibri" w:hAnsi="Calibri"/>
          <w:spacing w:val="-5"/>
          <w:sz w:val="28"/>
        </w:rPr>
        <w:t> </w:t>
      </w:r>
      <w:r>
        <w:rPr>
          <w:rFonts w:ascii="Calibri" w:hAnsi="Calibri"/>
          <w:sz w:val="28"/>
        </w:rPr>
        <w:t>premios</w:t>
      </w:r>
      <w:r>
        <w:rPr>
          <w:rFonts w:ascii="Calibri" w:hAnsi="Calibri"/>
          <w:spacing w:val="-4"/>
          <w:sz w:val="28"/>
        </w:rPr>
        <w:t> </w:t>
      </w:r>
      <w:r>
        <w:rPr>
          <w:rFonts w:ascii="Calibri" w:hAnsi="Calibri"/>
          <w:sz w:val="28"/>
        </w:rPr>
        <w:t>el</w:t>
      </w:r>
      <w:r>
        <w:rPr>
          <w:rFonts w:ascii="Calibri" w:hAnsi="Calibri"/>
          <w:spacing w:val="-5"/>
          <w:sz w:val="28"/>
        </w:rPr>
        <w:t> </w:t>
      </w:r>
      <w:r>
        <w:rPr>
          <w:rFonts w:ascii="Calibri" w:hAnsi="Calibri"/>
          <w:sz w:val="28"/>
        </w:rPr>
        <w:t>31</w:t>
      </w:r>
      <w:r>
        <w:rPr>
          <w:rFonts w:ascii="Calibri" w:hAnsi="Calibri"/>
          <w:spacing w:val="-7"/>
          <w:sz w:val="28"/>
        </w:rPr>
        <w:t> </w:t>
      </w:r>
      <w:r>
        <w:rPr>
          <w:rFonts w:ascii="Calibri" w:hAnsi="Calibri"/>
          <w:sz w:val="28"/>
        </w:rPr>
        <w:t>de</w:t>
      </w:r>
      <w:r>
        <w:rPr>
          <w:rFonts w:ascii="Calibri" w:hAnsi="Calibri"/>
          <w:spacing w:val="-6"/>
          <w:sz w:val="28"/>
        </w:rPr>
        <w:t> </w:t>
      </w:r>
      <w:r>
        <w:rPr>
          <w:rFonts w:ascii="Calibri" w:hAnsi="Calibri"/>
          <w:sz w:val="28"/>
        </w:rPr>
        <w:t>octubre)</w:t>
      </w:r>
      <w:r>
        <w:rPr>
          <w:rFonts w:ascii="Calibri" w:hAnsi="Calibri"/>
          <w:spacing w:val="-7"/>
          <w:sz w:val="28"/>
        </w:rPr>
        <w:t> </w:t>
      </w:r>
      <w:r>
        <w:rPr>
          <w:rFonts w:ascii="Calibri" w:hAnsi="Calibri"/>
          <w:sz w:val="28"/>
        </w:rPr>
        <w:t>más</w:t>
      </w:r>
      <w:r>
        <w:rPr>
          <w:rFonts w:ascii="Calibri" w:hAnsi="Calibri"/>
          <w:spacing w:val="-4"/>
          <w:sz w:val="28"/>
        </w:rPr>
        <w:t> </w:t>
      </w:r>
      <w:r>
        <w:rPr>
          <w:rFonts w:ascii="Calibri" w:hAnsi="Calibri"/>
          <w:sz w:val="28"/>
        </w:rPr>
        <w:t>colaboración</w:t>
      </w:r>
      <w:r>
        <w:rPr>
          <w:rFonts w:ascii="Calibri" w:hAnsi="Calibri"/>
          <w:spacing w:val="-6"/>
          <w:sz w:val="28"/>
        </w:rPr>
        <w:t> </w:t>
      </w:r>
      <w:r>
        <w:rPr>
          <w:rFonts w:ascii="Calibri" w:hAnsi="Calibri"/>
          <w:sz w:val="28"/>
        </w:rPr>
        <w:t>actos</w:t>
      </w:r>
      <w:r>
        <w:rPr>
          <w:rFonts w:ascii="Calibri" w:hAnsi="Calibri"/>
          <w:spacing w:val="-4"/>
          <w:sz w:val="28"/>
        </w:rPr>
        <w:t> </w:t>
      </w:r>
      <w:r>
        <w:rPr>
          <w:rFonts w:ascii="Calibri" w:hAnsi="Calibri"/>
          <w:sz w:val="28"/>
        </w:rPr>
        <w:t>de la Asoc. De empresarios de Tías </w:t>
      </w:r>
      <w:r>
        <w:rPr>
          <w:rFonts w:ascii="Calibri" w:hAnsi="Calibri"/>
          <w:spacing w:val="-3"/>
          <w:sz w:val="28"/>
        </w:rPr>
        <w:t>para </w:t>
      </w:r>
      <w:r>
        <w:rPr>
          <w:rFonts w:ascii="Calibri" w:hAnsi="Calibri"/>
          <w:sz w:val="28"/>
        </w:rPr>
        <w:t>ese</w:t>
      </w:r>
      <w:r>
        <w:rPr>
          <w:rFonts w:ascii="Calibri" w:hAnsi="Calibri"/>
          <w:spacing w:val="-8"/>
          <w:sz w:val="28"/>
        </w:rPr>
        <w:t> </w:t>
      </w:r>
      <w:r>
        <w:rPr>
          <w:rFonts w:ascii="Calibri" w:hAnsi="Calibri"/>
          <w:sz w:val="28"/>
        </w:rPr>
        <w:t>día.</w:t>
      </w:r>
    </w:p>
    <w:p>
      <w:pPr>
        <w:spacing w:after="0" w:line="254" w:lineRule="auto"/>
        <w:jc w:val="both"/>
        <w:rPr>
          <w:rFonts w:ascii="Calibri" w:hAnsi="Calibri"/>
          <w:sz w:val="28"/>
        </w:rPr>
        <w:sectPr>
          <w:pgSz w:w="11910" w:h="16840"/>
          <w:pgMar w:header="1217" w:footer="0" w:top="2740" w:bottom="280" w:left="1300" w:right="1440"/>
        </w:sectPr>
      </w:pPr>
    </w:p>
    <w:p>
      <w:pPr>
        <w:pStyle w:val="BodyText"/>
        <w:rPr>
          <w:rFonts w:ascii="Calibri"/>
          <w:sz w:val="20"/>
        </w:rPr>
      </w:pPr>
    </w:p>
    <w:p>
      <w:pPr>
        <w:pStyle w:val="BodyText"/>
        <w:rPr>
          <w:rFonts w:ascii="Calibri"/>
          <w:sz w:val="21"/>
        </w:rPr>
      </w:pPr>
    </w:p>
    <w:p>
      <w:pPr>
        <w:pStyle w:val="ListParagraph"/>
        <w:numPr>
          <w:ilvl w:val="0"/>
          <w:numId w:val="14"/>
        </w:numPr>
        <w:tabs>
          <w:tab w:pos="604" w:val="left" w:leader="none"/>
        </w:tabs>
        <w:spacing w:line="254" w:lineRule="auto" w:before="44" w:after="0"/>
        <w:ind w:left="402" w:right="399" w:firstLine="0"/>
        <w:jc w:val="both"/>
        <w:rPr>
          <w:rFonts w:ascii="Calibri" w:hAnsi="Calibri"/>
          <w:sz w:val="28"/>
        </w:rPr>
      </w:pPr>
      <w:r>
        <w:rPr>
          <w:rFonts w:ascii="Calibri" w:hAnsi="Calibri"/>
          <w:sz w:val="28"/>
        </w:rPr>
        <w:t>Campaña Blackweek del 3 al 30 de noviembre, entrega de premios día</w:t>
      </w:r>
      <w:r>
        <w:rPr>
          <w:rFonts w:ascii="Calibri" w:hAnsi="Calibri"/>
          <w:spacing w:val="-40"/>
          <w:sz w:val="28"/>
        </w:rPr>
        <w:t> </w:t>
      </w:r>
      <w:r>
        <w:rPr>
          <w:rFonts w:ascii="Calibri" w:hAnsi="Calibri"/>
          <w:sz w:val="28"/>
        </w:rPr>
        <w:t>3 de</w:t>
      </w:r>
      <w:r>
        <w:rPr>
          <w:rFonts w:ascii="Calibri" w:hAnsi="Calibri"/>
          <w:spacing w:val="-3"/>
          <w:sz w:val="28"/>
        </w:rPr>
        <w:t> </w:t>
      </w:r>
      <w:r>
        <w:rPr>
          <w:rFonts w:ascii="Calibri" w:hAnsi="Calibri"/>
          <w:sz w:val="28"/>
        </w:rPr>
        <w:t>diciembre.</w:t>
      </w:r>
    </w:p>
    <w:p>
      <w:pPr>
        <w:pStyle w:val="ListParagraph"/>
        <w:numPr>
          <w:ilvl w:val="0"/>
          <w:numId w:val="14"/>
        </w:numPr>
        <w:tabs>
          <w:tab w:pos="604" w:val="left" w:leader="none"/>
        </w:tabs>
        <w:spacing w:line="254" w:lineRule="auto" w:before="0" w:after="0"/>
        <w:ind w:left="402" w:right="701" w:firstLine="0"/>
        <w:jc w:val="both"/>
        <w:rPr>
          <w:rFonts w:ascii="Calibri" w:hAnsi="Calibri"/>
          <w:sz w:val="28"/>
        </w:rPr>
      </w:pPr>
      <w:r>
        <w:rPr>
          <w:rFonts w:ascii="Calibri" w:hAnsi="Calibri"/>
          <w:sz w:val="28"/>
        </w:rPr>
        <w:t>Gestionada la subvención nominada a la Asociación de Empresarios</w:t>
      </w:r>
      <w:r>
        <w:rPr>
          <w:rFonts w:ascii="Calibri" w:hAnsi="Calibri"/>
          <w:spacing w:val="-37"/>
          <w:sz w:val="28"/>
        </w:rPr>
        <w:t> </w:t>
      </w:r>
      <w:r>
        <w:rPr>
          <w:rFonts w:ascii="Calibri" w:hAnsi="Calibri"/>
          <w:sz w:val="28"/>
        </w:rPr>
        <w:t>y Pymes de Tías y la subvención nominada a la Asociación de Barman de </w:t>
      </w:r>
      <w:r>
        <w:rPr>
          <w:rFonts w:ascii="Calibri" w:hAnsi="Calibri"/>
          <w:spacing w:val="-3"/>
          <w:sz w:val="28"/>
        </w:rPr>
        <w:t>Lanzarote</w:t>
      </w:r>
    </w:p>
    <w:p>
      <w:pPr>
        <w:spacing w:line="254" w:lineRule="auto" w:before="0"/>
        <w:ind w:left="402" w:right="0" w:firstLine="0"/>
        <w:jc w:val="left"/>
        <w:rPr>
          <w:rFonts w:ascii="Calibri" w:hAnsi="Calibri"/>
          <w:sz w:val="28"/>
        </w:rPr>
      </w:pPr>
      <w:r>
        <w:rPr>
          <w:rFonts w:ascii="Calibri" w:hAnsi="Calibri"/>
          <w:sz w:val="28"/>
        </w:rPr>
        <w:t>*Se trabaja junto a Paula Barreto para la elaboración del proyecto del alumbrado navideño del municipio.</w:t>
      </w:r>
    </w:p>
    <w:p>
      <w:pPr>
        <w:spacing w:before="0"/>
        <w:ind w:left="402" w:right="0" w:firstLine="0"/>
        <w:jc w:val="left"/>
        <w:rPr>
          <w:rFonts w:ascii="Calibri" w:hAnsi="Calibri"/>
          <w:b/>
          <w:i/>
          <w:sz w:val="28"/>
        </w:rPr>
      </w:pPr>
      <w:r>
        <w:rPr>
          <w:rFonts w:ascii="Calibri" w:hAnsi="Calibri"/>
          <w:b/>
          <w:i/>
          <w:sz w:val="28"/>
        </w:rPr>
        <w:t>Campañas y actos de navidad</w:t>
      </w:r>
    </w:p>
    <w:p>
      <w:pPr>
        <w:pStyle w:val="Heading2"/>
        <w:numPr>
          <w:ilvl w:val="0"/>
          <w:numId w:val="14"/>
        </w:numPr>
        <w:tabs>
          <w:tab w:pos="604" w:val="left" w:leader="none"/>
        </w:tabs>
        <w:spacing w:line="252" w:lineRule="auto" w:before="17" w:after="0"/>
        <w:ind w:left="402" w:right="607" w:firstLine="0"/>
        <w:jc w:val="left"/>
      </w:pPr>
      <w:r>
        <w:rPr/>
        <w:t>Concurso</w:t>
      </w:r>
      <w:r>
        <w:rPr>
          <w:spacing w:val="-6"/>
        </w:rPr>
        <w:t> </w:t>
      </w:r>
      <w:r>
        <w:rPr/>
        <w:t>de</w:t>
      </w:r>
      <w:r>
        <w:rPr>
          <w:spacing w:val="-7"/>
        </w:rPr>
        <w:t> </w:t>
      </w:r>
      <w:r>
        <w:rPr/>
        <w:t>escaparates</w:t>
      </w:r>
      <w:r>
        <w:rPr>
          <w:spacing w:val="-7"/>
        </w:rPr>
        <w:t> </w:t>
      </w:r>
      <w:r>
        <w:rPr/>
        <w:t>navideños</w:t>
      </w:r>
      <w:r>
        <w:rPr>
          <w:spacing w:val="-5"/>
        </w:rPr>
        <w:t> </w:t>
      </w:r>
      <w:r>
        <w:rPr/>
        <w:t>del</w:t>
      </w:r>
      <w:r>
        <w:rPr>
          <w:spacing w:val="-7"/>
        </w:rPr>
        <w:t> </w:t>
      </w:r>
      <w:r>
        <w:rPr/>
        <w:t>comercio</w:t>
      </w:r>
      <w:r>
        <w:rPr>
          <w:spacing w:val="-5"/>
        </w:rPr>
        <w:t> </w:t>
      </w:r>
      <w:r>
        <w:rPr/>
        <w:t>local</w:t>
      </w:r>
      <w:r>
        <w:rPr>
          <w:spacing w:val="-7"/>
        </w:rPr>
        <w:t> </w:t>
      </w:r>
      <w:r>
        <w:rPr/>
        <w:t>de</w:t>
      </w:r>
      <w:r>
        <w:rPr>
          <w:spacing w:val="-7"/>
        </w:rPr>
        <w:t> </w:t>
      </w:r>
      <w:r>
        <w:rPr/>
        <w:t>Tías,</w:t>
      </w:r>
      <w:r>
        <w:rPr>
          <w:spacing w:val="-9"/>
        </w:rPr>
        <w:t> </w:t>
      </w:r>
      <w:r>
        <w:rPr/>
        <w:t>abierta inscripción del 19 al 26 de noviembre y visita jurado el día 29</w:t>
      </w:r>
      <w:r>
        <w:rPr>
          <w:spacing w:val="-28"/>
        </w:rPr>
        <w:t> </w:t>
      </w:r>
      <w:r>
        <w:rPr/>
        <w:t>de</w:t>
      </w:r>
    </w:p>
    <w:p>
      <w:pPr>
        <w:spacing w:before="5"/>
        <w:ind w:left="402" w:right="0" w:firstLine="0"/>
        <w:jc w:val="left"/>
        <w:rPr>
          <w:rFonts w:ascii="Calibri"/>
          <w:sz w:val="28"/>
        </w:rPr>
      </w:pPr>
      <w:r>
        <w:rPr>
          <w:rFonts w:ascii="Calibri"/>
          <w:sz w:val="28"/>
        </w:rPr>
        <w:t>noviembre.</w:t>
      </w:r>
    </w:p>
    <w:p>
      <w:pPr>
        <w:pStyle w:val="ListParagraph"/>
        <w:numPr>
          <w:ilvl w:val="0"/>
          <w:numId w:val="14"/>
        </w:numPr>
        <w:tabs>
          <w:tab w:pos="604" w:val="left" w:leader="none"/>
        </w:tabs>
        <w:spacing w:line="254" w:lineRule="auto" w:before="20" w:after="0"/>
        <w:ind w:left="402" w:right="446" w:firstLine="0"/>
        <w:jc w:val="left"/>
        <w:rPr>
          <w:rFonts w:ascii="Calibri" w:hAnsi="Calibri"/>
          <w:sz w:val="28"/>
        </w:rPr>
      </w:pPr>
      <w:r>
        <w:rPr>
          <w:rFonts w:ascii="Calibri" w:hAnsi="Calibri"/>
          <w:sz w:val="28"/>
        </w:rPr>
        <w:t>Inauguración del alumbrado navideño y </w:t>
      </w:r>
      <w:r>
        <w:rPr>
          <w:rFonts w:ascii="Calibri" w:hAnsi="Calibri"/>
          <w:spacing w:val="-3"/>
          <w:sz w:val="28"/>
        </w:rPr>
        <w:t>entrega </w:t>
      </w:r>
      <w:r>
        <w:rPr>
          <w:rFonts w:ascii="Calibri" w:hAnsi="Calibri"/>
          <w:sz w:val="28"/>
        </w:rPr>
        <w:t>premios concurso Escaparatismo</w:t>
      </w:r>
      <w:r>
        <w:rPr>
          <w:rFonts w:ascii="Calibri" w:hAnsi="Calibri"/>
          <w:spacing w:val="-6"/>
          <w:sz w:val="28"/>
        </w:rPr>
        <w:t> </w:t>
      </w:r>
      <w:r>
        <w:rPr>
          <w:rFonts w:ascii="Calibri" w:hAnsi="Calibri"/>
          <w:sz w:val="28"/>
        </w:rPr>
        <w:t>Navideño</w:t>
      </w:r>
      <w:r>
        <w:rPr>
          <w:rFonts w:ascii="Calibri" w:hAnsi="Calibri"/>
          <w:spacing w:val="-6"/>
          <w:sz w:val="28"/>
        </w:rPr>
        <w:t> </w:t>
      </w:r>
      <w:r>
        <w:rPr>
          <w:rFonts w:ascii="Calibri" w:hAnsi="Calibri"/>
          <w:sz w:val="28"/>
        </w:rPr>
        <w:t>el</w:t>
      </w:r>
      <w:r>
        <w:rPr>
          <w:rFonts w:ascii="Calibri" w:hAnsi="Calibri"/>
          <w:spacing w:val="-6"/>
          <w:sz w:val="28"/>
        </w:rPr>
        <w:t> </w:t>
      </w:r>
      <w:r>
        <w:rPr>
          <w:rFonts w:ascii="Calibri" w:hAnsi="Calibri"/>
          <w:sz w:val="28"/>
        </w:rPr>
        <w:t>4</w:t>
      </w:r>
      <w:r>
        <w:rPr>
          <w:rFonts w:ascii="Calibri" w:hAnsi="Calibri"/>
          <w:spacing w:val="-6"/>
          <w:sz w:val="28"/>
        </w:rPr>
        <w:t> </w:t>
      </w:r>
      <w:r>
        <w:rPr>
          <w:rFonts w:ascii="Calibri" w:hAnsi="Calibri"/>
          <w:sz w:val="28"/>
        </w:rPr>
        <w:t>de</w:t>
      </w:r>
      <w:r>
        <w:rPr>
          <w:rFonts w:ascii="Calibri" w:hAnsi="Calibri"/>
          <w:spacing w:val="-5"/>
          <w:sz w:val="28"/>
        </w:rPr>
        <w:t> </w:t>
      </w:r>
      <w:r>
        <w:rPr>
          <w:rFonts w:ascii="Calibri" w:hAnsi="Calibri"/>
          <w:sz w:val="28"/>
        </w:rPr>
        <w:t>diciembre</w:t>
      </w:r>
      <w:r>
        <w:rPr>
          <w:rFonts w:ascii="Calibri" w:hAnsi="Calibri"/>
          <w:spacing w:val="-7"/>
          <w:sz w:val="28"/>
        </w:rPr>
        <w:t> </w:t>
      </w:r>
      <w:r>
        <w:rPr>
          <w:rFonts w:ascii="Calibri" w:hAnsi="Calibri"/>
          <w:sz w:val="28"/>
        </w:rPr>
        <w:t>en</w:t>
      </w:r>
      <w:r>
        <w:rPr>
          <w:rFonts w:ascii="Calibri" w:hAnsi="Calibri"/>
          <w:spacing w:val="-8"/>
          <w:sz w:val="28"/>
        </w:rPr>
        <w:t> </w:t>
      </w:r>
      <w:r>
        <w:rPr>
          <w:rFonts w:ascii="Calibri" w:hAnsi="Calibri"/>
          <w:sz w:val="28"/>
        </w:rPr>
        <w:t>la</w:t>
      </w:r>
      <w:r>
        <w:rPr>
          <w:rFonts w:ascii="Calibri" w:hAnsi="Calibri"/>
          <w:spacing w:val="-5"/>
          <w:sz w:val="28"/>
        </w:rPr>
        <w:t> </w:t>
      </w:r>
      <w:r>
        <w:rPr>
          <w:rFonts w:ascii="Calibri" w:hAnsi="Calibri"/>
          <w:sz w:val="28"/>
        </w:rPr>
        <w:t>Plaza</w:t>
      </w:r>
      <w:r>
        <w:rPr>
          <w:rFonts w:ascii="Calibri" w:hAnsi="Calibri"/>
          <w:spacing w:val="-4"/>
          <w:sz w:val="28"/>
        </w:rPr>
        <w:t> </w:t>
      </w:r>
      <w:r>
        <w:rPr>
          <w:rFonts w:ascii="Calibri" w:hAnsi="Calibri"/>
          <w:sz w:val="28"/>
        </w:rPr>
        <w:t>Leandro</w:t>
      </w:r>
      <w:r>
        <w:rPr>
          <w:rFonts w:ascii="Calibri" w:hAnsi="Calibri"/>
          <w:spacing w:val="-4"/>
          <w:sz w:val="28"/>
        </w:rPr>
        <w:t> </w:t>
      </w:r>
      <w:r>
        <w:rPr>
          <w:rFonts w:ascii="Calibri" w:hAnsi="Calibri"/>
          <w:sz w:val="28"/>
        </w:rPr>
        <w:t>Fajardo</w:t>
      </w:r>
      <w:r>
        <w:rPr>
          <w:rFonts w:ascii="Calibri" w:hAnsi="Calibri"/>
          <w:spacing w:val="-6"/>
          <w:sz w:val="28"/>
        </w:rPr>
        <w:t> </w:t>
      </w:r>
      <w:r>
        <w:rPr>
          <w:rFonts w:ascii="Calibri" w:hAnsi="Calibri"/>
          <w:sz w:val="28"/>
        </w:rPr>
        <w:t>de Tías.</w:t>
      </w:r>
    </w:p>
    <w:p>
      <w:pPr>
        <w:pStyle w:val="ListParagraph"/>
        <w:numPr>
          <w:ilvl w:val="0"/>
          <w:numId w:val="14"/>
        </w:numPr>
        <w:tabs>
          <w:tab w:pos="604" w:val="left" w:leader="none"/>
        </w:tabs>
        <w:spacing w:line="254" w:lineRule="auto" w:before="0" w:after="0"/>
        <w:ind w:left="402" w:right="552" w:firstLine="0"/>
        <w:jc w:val="left"/>
        <w:rPr>
          <w:rFonts w:ascii="Calibri" w:hAnsi="Calibri"/>
          <w:sz w:val="28"/>
        </w:rPr>
      </w:pPr>
      <w:r>
        <w:rPr>
          <w:rFonts w:ascii="Calibri" w:hAnsi="Calibri"/>
          <w:sz w:val="28"/>
        </w:rPr>
        <w:t>III</w:t>
      </w:r>
      <w:r>
        <w:rPr>
          <w:rFonts w:ascii="Calibri" w:hAnsi="Calibri"/>
          <w:spacing w:val="-6"/>
          <w:sz w:val="28"/>
        </w:rPr>
        <w:t> </w:t>
      </w:r>
      <w:r>
        <w:rPr>
          <w:rFonts w:ascii="Calibri" w:hAnsi="Calibri"/>
          <w:sz w:val="28"/>
        </w:rPr>
        <w:t>Muestra</w:t>
      </w:r>
      <w:r>
        <w:rPr>
          <w:rFonts w:ascii="Calibri" w:hAnsi="Calibri"/>
          <w:spacing w:val="-4"/>
          <w:sz w:val="28"/>
        </w:rPr>
        <w:t> </w:t>
      </w:r>
      <w:r>
        <w:rPr>
          <w:rFonts w:ascii="Calibri" w:hAnsi="Calibri"/>
          <w:sz w:val="28"/>
        </w:rPr>
        <w:t>de</w:t>
      </w:r>
      <w:r>
        <w:rPr>
          <w:rFonts w:ascii="Calibri" w:hAnsi="Calibri"/>
          <w:spacing w:val="-3"/>
          <w:sz w:val="28"/>
        </w:rPr>
        <w:t> </w:t>
      </w:r>
      <w:r>
        <w:rPr>
          <w:rFonts w:ascii="Calibri" w:hAnsi="Calibri"/>
          <w:sz w:val="28"/>
        </w:rPr>
        <w:t>artesanía</w:t>
      </w:r>
      <w:r>
        <w:rPr>
          <w:rFonts w:ascii="Calibri" w:hAnsi="Calibri"/>
          <w:spacing w:val="-4"/>
          <w:sz w:val="28"/>
        </w:rPr>
        <w:t> </w:t>
      </w:r>
      <w:r>
        <w:rPr>
          <w:rFonts w:ascii="Calibri" w:hAnsi="Calibri"/>
          <w:sz w:val="28"/>
        </w:rPr>
        <w:t>por</w:t>
      </w:r>
      <w:r>
        <w:rPr>
          <w:rFonts w:ascii="Calibri" w:hAnsi="Calibri"/>
          <w:spacing w:val="-4"/>
          <w:sz w:val="28"/>
        </w:rPr>
        <w:t> </w:t>
      </w:r>
      <w:r>
        <w:rPr>
          <w:rFonts w:ascii="Calibri" w:hAnsi="Calibri"/>
          <w:sz w:val="28"/>
        </w:rPr>
        <w:t>Navidad</w:t>
      </w:r>
      <w:r>
        <w:rPr>
          <w:rFonts w:ascii="Calibri" w:hAnsi="Calibri"/>
          <w:spacing w:val="-6"/>
          <w:sz w:val="28"/>
        </w:rPr>
        <w:t> </w:t>
      </w:r>
      <w:r>
        <w:rPr>
          <w:rFonts w:ascii="Calibri" w:hAnsi="Calibri"/>
          <w:sz w:val="28"/>
        </w:rPr>
        <w:t>y</w:t>
      </w:r>
      <w:r>
        <w:rPr>
          <w:rFonts w:ascii="Calibri" w:hAnsi="Calibri"/>
          <w:spacing w:val="-4"/>
          <w:sz w:val="28"/>
        </w:rPr>
        <w:t> </w:t>
      </w:r>
      <w:r>
        <w:rPr>
          <w:rFonts w:ascii="Calibri" w:hAnsi="Calibri"/>
          <w:sz w:val="28"/>
        </w:rPr>
        <w:t>Gastronomía</w:t>
      </w:r>
      <w:r>
        <w:rPr>
          <w:rFonts w:ascii="Calibri" w:hAnsi="Calibri"/>
          <w:spacing w:val="-5"/>
          <w:sz w:val="28"/>
        </w:rPr>
        <w:t> </w:t>
      </w:r>
      <w:r>
        <w:rPr>
          <w:rFonts w:ascii="Calibri" w:hAnsi="Calibri"/>
          <w:sz w:val="28"/>
        </w:rPr>
        <w:t>con</w:t>
      </w:r>
      <w:r>
        <w:rPr>
          <w:rFonts w:ascii="Calibri" w:hAnsi="Calibri"/>
          <w:spacing w:val="-5"/>
          <w:sz w:val="28"/>
        </w:rPr>
        <w:t> </w:t>
      </w:r>
      <w:r>
        <w:rPr>
          <w:rFonts w:ascii="Calibri" w:hAnsi="Calibri"/>
          <w:sz w:val="28"/>
        </w:rPr>
        <w:t>alma</w:t>
      </w:r>
      <w:r>
        <w:rPr>
          <w:rFonts w:ascii="Calibri" w:hAnsi="Calibri"/>
          <w:spacing w:val="-7"/>
          <w:sz w:val="28"/>
        </w:rPr>
        <w:t> </w:t>
      </w:r>
      <w:r>
        <w:rPr>
          <w:rFonts w:ascii="Calibri" w:hAnsi="Calibri"/>
          <w:sz w:val="28"/>
        </w:rPr>
        <w:t>artesana del 11 al 14 de diciembre en el anfiteatro de Plaza de las Naciones de Puerto del Carmen. (se vio </w:t>
      </w:r>
      <w:r>
        <w:rPr>
          <w:rFonts w:ascii="Calibri" w:hAnsi="Calibri"/>
          <w:spacing w:val="-3"/>
          <w:sz w:val="28"/>
        </w:rPr>
        <w:t>afectada </w:t>
      </w:r>
      <w:r>
        <w:rPr>
          <w:rFonts w:ascii="Calibri" w:hAnsi="Calibri"/>
          <w:sz w:val="28"/>
        </w:rPr>
        <w:t>por la alerta decretada y</w:t>
      </w:r>
      <w:r>
        <w:rPr>
          <w:rFonts w:ascii="Calibri" w:hAnsi="Calibri"/>
          <w:spacing w:val="-19"/>
          <w:sz w:val="28"/>
        </w:rPr>
        <w:t> </w:t>
      </w:r>
      <w:r>
        <w:rPr>
          <w:rFonts w:ascii="Calibri" w:hAnsi="Calibri"/>
          <w:sz w:val="28"/>
        </w:rPr>
        <w:t>estuvo</w:t>
      </w:r>
    </w:p>
    <w:p>
      <w:pPr>
        <w:spacing w:line="340" w:lineRule="exact" w:before="0"/>
        <w:ind w:left="402" w:right="0" w:firstLine="0"/>
        <w:jc w:val="left"/>
        <w:rPr>
          <w:rFonts w:ascii="Calibri"/>
          <w:sz w:val="28"/>
        </w:rPr>
      </w:pPr>
      <w:r>
        <w:rPr>
          <w:rFonts w:ascii="Calibri"/>
          <w:sz w:val="28"/>
        </w:rPr>
        <w:t>cerrada 12 y 13)</w:t>
      </w:r>
    </w:p>
    <w:p>
      <w:pPr>
        <w:pStyle w:val="ListParagraph"/>
        <w:numPr>
          <w:ilvl w:val="0"/>
          <w:numId w:val="14"/>
        </w:numPr>
        <w:tabs>
          <w:tab w:pos="604" w:val="left" w:leader="none"/>
        </w:tabs>
        <w:spacing w:line="254" w:lineRule="auto" w:before="19" w:after="0"/>
        <w:ind w:left="402" w:right="447" w:firstLine="0"/>
        <w:jc w:val="left"/>
        <w:rPr>
          <w:rFonts w:ascii="Calibri" w:hAnsi="Calibri"/>
          <w:sz w:val="28"/>
        </w:rPr>
      </w:pPr>
      <w:r>
        <w:rPr>
          <w:rFonts w:ascii="Calibri" w:hAnsi="Calibri"/>
          <w:sz w:val="28"/>
        </w:rPr>
        <w:t>Zumba</w:t>
      </w:r>
      <w:r>
        <w:rPr>
          <w:rFonts w:ascii="Calibri" w:hAnsi="Calibri"/>
          <w:spacing w:val="-6"/>
          <w:sz w:val="28"/>
        </w:rPr>
        <w:t> </w:t>
      </w:r>
      <w:r>
        <w:rPr>
          <w:rFonts w:ascii="Calibri" w:hAnsi="Calibri"/>
          <w:sz w:val="28"/>
        </w:rPr>
        <w:t>Christmas</w:t>
      </w:r>
      <w:r>
        <w:rPr>
          <w:rFonts w:ascii="Calibri" w:hAnsi="Calibri"/>
          <w:spacing w:val="-4"/>
          <w:sz w:val="28"/>
        </w:rPr>
        <w:t> </w:t>
      </w:r>
      <w:r>
        <w:rPr>
          <w:rFonts w:ascii="Calibri" w:hAnsi="Calibri"/>
          <w:sz w:val="28"/>
        </w:rPr>
        <w:t>Concert</w:t>
      </w:r>
      <w:r>
        <w:rPr>
          <w:rFonts w:ascii="Calibri" w:hAnsi="Calibri"/>
          <w:spacing w:val="-6"/>
          <w:sz w:val="28"/>
        </w:rPr>
        <w:t> </w:t>
      </w:r>
      <w:r>
        <w:rPr>
          <w:rFonts w:ascii="Calibri" w:hAnsi="Calibri"/>
          <w:sz w:val="28"/>
        </w:rPr>
        <w:t>en</w:t>
      </w:r>
      <w:r>
        <w:rPr>
          <w:rFonts w:ascii="Calibri" w:hAnsi="Calibri"/>
          <w:spacing w:val="-7"/>
          <w:sz w:val="28"/>
        </w:rPr>
        <w:t> </w:t>
      </w:r>
      <w:r>
        <w:rPr>
          <w:rFonts w:ascii="Calibri" w:hAnsi="Calibri"/>
          <w:sz w:val="28"/>
        </w:rPr>
        <w:t>la</w:t>
      </w:r>
      <w:r>
        <w:rPr>
          <w:rFonts w:ascii="Calibri" w:hAnsi="Calibri"/>
          <w:spacing w:val="-6"/>
          <w:sz w:val="28"/>
        </w:rPr>
        <w:t> </w:t>
      </w:r>
      <w:r>
        <w:rPr>
          <w:rFonts w:ascii="Calibri" w:hAnsi="Calibri"/>
          <w:sz w:val="28"/>
        </w:rPr>
        <w:t>plaza</w:t>
      </w:r>
      <w:r>
        <w:rPr>
          <w:rFonts w:ascii="Calibri" w:hAnsi="Calibri"/>
          <w:spacing w:val="-3"/>
          <w:sz w:val="28"/>
        </w:rPr>
        <w:t> </w:t>
      </w:r>
      <w:r>
        <w:rPr>
          <w:rFonts w:ascii="Calibri" w:hAnsi="Calibri"/>
          <w:sz w:val="28"/>
        </w:rPr>
        <w:t>del</w:t>
      </w:r>
      <w:r>
        <w:rPr>
          <w:rFonts w:ascii="Calibri" w:hAnsi="Calibri"/>
          <w:spacing w:val="-4"/>
          <w:sz w:val="28"/>
        </w:rPr>
        <w:t> </w:t>
      </w:r>
      <w:r>
        <w:rPr>
          <w:rFonts w:ascii="Calibri" w:hAnsi="Calibri"/>
          <w:sz w:val="28"/>
        </w:rPr>
        <w:t>ayuntamiento</w:t>
      </w:r>
      <w:r>
        <w:rPr>
          <w:rFonts w:ascii="Calibri" w:hAnsi="Calibri"/>
          <w:spacing w:val="-5"/>
          <w:sz w:val="28"/>
        </w:rPr>
        <w:t> </w:t>
      </w:r>
      <w:r>
        <w:rPr>
          <w:rFonts w:ascii="Calibri" w:hAnsi="Calibri"/>
          <w:sz w:val="28"/>
        </w:rPr>
        <w:t>con</w:t>
      </w:r>
      <w:r>
        <w:rPr>
          <w:rFonts w:ascii="Calibri" w:hAnsi="Calibri"/>
          <w:spacing w:val="-7"/>
          <w:sz w:val="28"/>
        </w:rPr>
        <w:t> </w:t>
      </w:r>
      <w:r>
        <w:rPr>
          <w:rFonts w:ascii="Calibri" w:hAnsi="Calibri"/>
          <w:sz w:val="28"/>
        </w:rPr>
        <w:t>recogida</w:t>
      </w:r>
      <w:r>
        <w:rPr>
          <w:rFonts w:ascii="Calibri" w:hAnsi="Calibri"/>
          <w:spacing w:val="-6"/>
          <w:sz w:val="28"/>
        </w:rPr>
        <w:t> </w:t>
      </w:r>
      <w:r>
        <w:rPr>
          <w:rFonts w:ascii="Calibri" w:hAnsi="Calibri"/>
          <w:sz w:val="28"/>
        </w:rPr>
        <w:t>de alimentos y juguetes </w:t>
      </w:r>
      <w:r>
        <w:rPr>
          <w:rFonts w:ascii="Calibri" w:hAnsi="Calibri"/>
          <w:spacing w:val="-3"/>
          <w:sz w:val="28"/>
        </w:rPr>
        <w:t>para </w:t>
      </w:r>
      <w:r>
        <w:rPr>
          <w:rFonts w:ascii="Calibri" w:hAnsi="Calibri"/>
          <w:sz w:val="28"/>
        </w:rPr>
        <w:t>familias del municipio el 17 de</w:t>
      </w:r>
      <w:r>
        <w:rPr>
          <w:rFonts w:ascii="Calibri" w:hAnsi="Calibri"/>
          <w:spacing w:val="-17"/>
          <w:sz w:val="28"/>
        </w:rPr>
        <w:t> </w:t>
      </w:r>
      <w:r>
        <w:rPr>
          <w:rFonts w:ascii="Calibri" w:hAnsi="Calibri"/>
          <w:sz w:val="28"/>
        </w:rPr>
        <w:t>diciembre</w:t>
      </w:r>
    </w:p>
    <w:p>
      <w:pPr>
        <w:pStyle w:val="ListParagraph"/>
        <w:numPr>
          <w:ilvl w:val="0"/>
          <w:numId w:val="14"/>
        </w:numPr>
        <w:tabs>
          <w:tab w:pos="604" w:val="left" w:leader="none"/>
        </w:tabs>
        <w:spacing w:line="254" w:lineRule="auto" w:before="0" w:after="0"/>
        <w:ind w:left="402" w:right="790" w:firstLine="0"/>
        <w:jc w:val="left"/>
        <w:rPr>
          <w:rFonts w:ascii="Calibri" w:hAnsi="Calibri"/>
          <w:sz w:val="28"/>
        </w:rPr>
      </w:pPr>
      <w:r>
        <w:rPr>
          <w:rFonts w:ascii="Calibri" w:hAnsi="Calibri"/>
          <w:sz w:val="28"/>
        </w:rPr>
        <w:t>Visita</w:t>
      </w:r>
      <w:r>
        <w:rPr>
          <w:rFonts w:ascii="Calibri" w:hAnsi="Calibri"/>
          <w:spacing w:val="-4"/>
          <w:sz w:val="28"/>
        </w:rPr>
        <w:t> </w:t>
      </w:r>
      <w:r>
        <w:rPr>
          <w:rFonts w:ascii="Calibri" w:hAnsi="Calibri"/>
          <w:sz w:val="28"/>
        </w:rPr>
        <w:t>del</w:t>
      </w:r>
      <w:r>
        <w:rPr>
          <w:rFonts w:ascii="Calibri" w:hAnsi="Calibri"/>
          <w:spacing w:val="-3"/>
          <w:sz w:val="28"/>
        </w:rPr>
        <w:t> </w:t>
      </w:r>
      <w:r>
        <w:rPr>
          <w:rFonts w:ascii="Calibri" w:hAnsi="Calibri"/>
          <w:sz w:val="28"/>
        </w:rPr>
        <w:t>Papá</w:t>
      </w:r>
      <w:r>
        <w:rPr>
          <w:rFonts w:ascii="Calibri" w:hAnsi="Calibri"/>
          <w:spacing w:val="-3"/>
          <w:sz w:val="28"/>
        </w:rPr>
        <w:t> </w:t>
      </w:r>
      <w:r>
        <w:rPr>
          <w:rFonts w:ascii="Calibri" w:hAnsi="Calibri"/>
          <w:sz w:val="28"/>
        </w:rPr>
        <w:t>Noel</w:t>
      </w:r>
      <w:r>
        <w:rPr>
          <w:rFonts w:ascii="Calibri" w:hAnsi="Calibri"/>
          <w:spacing w:val="-7"/>
          <w:sz w:val="28"/>
        </w:rPr>
        <w:t> </w:t>
      </w:r>
      <w:r>
        <w:rPr>
          <w:rFonts w:ascii="Calibri" w:hAnsi="Calibri"/>
          <w:sz w:val="28"/>
        </w:rPr>
        <w:t>a</w:t>
      </w:r>
      <w:r>
        <w:rPr>
          <w:rFonts w:ascii="Calibri" w:hAnsi="Calibri"/>
          <w:spacing w:val="-3"/>
          <w:sz w:val="28"/>
        </w:rPr>
        <w:t> </w:t>
      </w:r>
      <w:r>
        <w:rPr>
          <w:rFonts w:ascii="Calibri" w:hAnsi="Calibri"/>
          <w:sz w:val="28"/>
        </w:rPr>
        <w:t>Tías</w:t>
      </w:r>
      <w:r>
        <w:rPr>
          <w:rFonts w:ascii="Calibri" w:hAnsi="Calibri"/>
          <w:spacing w:val="-3"/>
          <w:sz w:val="28"/>
        </w:rPr>
        <w:t> </w:t>
      </w:r>
      <w:r>
        <w:rPr>
          <w:rFonts w:ascii="Calibri" w:hAnsi="Calibri"/>
          <w:sz w:val="28"/>
        </w:rPr>
        <w:t>el</w:t>
      </w:r>
      <w:r>
        <w:rPr>
          <w:rFonts w:ascii="Calibri" w:hAnsi="Calibri"/>
          <w:spacing w:val="-3"/>
          <w:sz w:val="28"/>
        </w:rPr>
        <w:t> </w:t>
      </w:r>
      <w:r>
        <w:rPr>
          <w:rFonts w:ascii="Calibri" w:hAnsi="Calibri"/>
          <w:sz w:val="28"/>
        </w:rPr>
        <w:t>día</w:t>
      </w:r>
      <w:r>
        <w:rPr>
          <w:rFonts w:ascii="Calibri" w:hAnsi="Calibri"/>
          <w:spacing w:val="-4"/>
          <w:sz w:val="28"/>
        </w:rPr>
        <w:t> </w:t>
      </w:r>
      <w:r>
        <w:rPr>
          <w:rFonts w:ascii="Calibri" w:hAnsi="Calibri"/>
          <w:sz w:val="28"/>
        </w:rPr>
        <w:t>23</w:t>
      </w:r>
      <w:r>
        <w:rPr>
          <w:rFonts w:ascii="Calibri" w:hAnsi="Calibri"/>
          <w:spacing w:val="-3"/>
          <w:sz w:val="28"/>
        </w:rPr>
        <w:t> </w:t>
      </w:r>
      <w:r>
        <w:rPr>
          <w:rFonts w:ascii="Calibri" w:hAnsi="Calibri"/>
          <w:sz w:val="28"/>
        </w:rPr>
        <w:t>de</w:t>
      </w:r>
      <w:r>
        <w:rPr>
          <w:rFonts w:ascii="Calibri" w:hAnsi="Calibri"/>
          <w:spacing w:val="-4"/>
          <w:sz w:val="28"/>
        </w:rPr>
        <w:t> </w:t>
      </w:r>
      <w:r>
        <w:rPr>
          <w:rFonts w:ascii="Calibri" w:hAnsi="Calibri"/>
          <w:sz w:val="28"/>
        </w:rPr>
        <w:t>diciembre</w:t>
      </w:r>
      <w:r>
        <w:rPr>
          <w:rFonts w:ascii="Calibri" w:hAnsi="Calibri"/>
          <w:spacing w:val="-5"/>
          <w:sz w:val="28"/>
        </w:rPr>
        <w:t> </w:t>
      </w:r>
      <w:r>
        <w:rPr>
          <w:rFonts w:ascii="Calibri" w:hAnsi="Calibri"/>
          <w:sz w:val="28"/>
        </w:rPr>
        <w:t>en</w:t>
      </w:r>
      <w:r>
        <w:rPr>
          <w:rFonts w:ascii="Calibri" w:hAnsi="Calibri"/>
          <w:spacing w:val="-5"/>
          <w:sz w:val="28"/>
        </w:rPr>
        <w:t> </w:t>
      </w:r>
      <w:r>
        <w:rPr>
          <w:rFonts w:ascii="Calibri" w:hAnsi="Calibri"/>
          <w:sz w:val="28"/>
        </w:rPr>
        <w:t>la</w:t>
      </w:r>
      <w:r>
        <w:rPr>
          <w:rFonts w:ascii="Calibri" w:hAnsi="Calibri"/>
          <w:spacing w:val="-3"/>
          <w:sz w:val="28"/>
        </w:rPr>
        <w:t> </w:t>
      </w:r>
      <w:r>
        <w:rPr>
          <w:rFonts w:ascii="Calibri" w:hAnsi="Calibri"/>
          <w:sz w:val="28"/>
        </w:rPr>
        <w:t>Plaza</w:t>
      </w:r>
      <w:r>
        <w:rPr>
          <w:rFonts w:ascii="Calibri" w:hAnsi="Calibri"/>
          <w:spacing w:val="-3"/>
          <w:sz w:val="28"/>
        </w:rPr>
        <w:t> </w:t>
      </w:r>
      <w:r>
        <w:rPr>
          <w:rFonts w:ascii="Calibri" w:hAnsi="Calibri"/>
          <w:sz w:val="28"/>
        </w:rPr>
        <w:t>Leandro Fajardo de</w:t>
      </w:r>
      <w:r>
        <w:rPr>
          <w:rFonts w:ascii="Calibri" w:hAnsi="Calibri"/>
          <w:spacing w:val="-4"/>
          <w:sz w:val="28"/>
        </w:rPr>
        <w:t> </w:t>
      </w:r>
      <w:r>
        <w:rPr>
          <w:rFonts w:ascii="Calibri" w:hAnsi="Calibri"/>
          <w:sz w:val="28"/>
        </w:rPr>
        <w:t>Tías.</w:t>
      </w:r>
    </w:p>
    <w:p>
      <w:pPr>
        <w:pStyle w:val="BodyText"/>
        <w:spacing w:before="10"/>
        <w:rPr>
          <w:rFonts w:ascii="Calibri"/>
          <w:sz w:val="22"/>
        </w:rPr>
      </w:pPr>
    </w:p>
    <w:p>
      <w:pPr>
        <w:spacing w:before="0"/>
        <w:ind w:left="402" w:right="0" w:firstLine="0"/>
        <w:jc w:val="left"/>
        <w:rPr>
          <w:rFonts w:ascii="Calibri" w:hAnsi="Calibri"/>
          <w:b/>
          <w:sz w:val="28"/>
        </w:rPr>
      </w:pPr>
      <w:r>
        <w:rPr>
          <w:spacing w:val="-71"/>
          <w:w w:val="100"/>
          <w:sz w:val="28"/>
          <w:u w:val="single"/>
        </w:rPr>
        <w:t> </w:t>
      </w:r>
      <w:r>
        <w:rPr>
          <w:rFonts w:ascii="Calibri" w:hAnsi="Calibri"/>
          <w:b/>
          <w:sz w:val="28"/>
          <w:u w:val="single"/>
        </w:rPr>
        <w:t>EDUCACIÓN</w:t>
      </w:r>
    </w:p>
    <w:p>
      <w:pPr>
        <w:pStyle w:val="ListParagraph"/>
        <w:numPr>
          <w:ilvl w:val="1"/>
          <w:numId w:val="11"/>
        </w:numPr>
        <w:tabs>
          <w:tab w:pos="1122" w:val="left" w:leader="none"/>
        </w:tabs>
        <w:spacing w:line="240" w:lineRule="auto" w:before="184" w:after="0"/>
        <w:ind w:left="1122" w:right="0" w:hanging="361"/>
        <w:jc w:val="left"/>
        <w:rPr>
          <w:rFonts w:ascii="Calibri"/>
          <w:sz w:val="28"/>
        </w:rPr>
      </w:pPr>
      <w:r>
        <w:rPr>
          <w:rFonts w:ascii="Calibri"/>
          <w:spacing w:val="-4"/>
          <w:sz w:val="28"/>
        </w:rPr>
        <w:t>Tratamientos </w:t>
      </w:r>
      <w:r>
        <w:rPr>
          <w:rFonts w:ascii="Calibri"/>
          <w:sz w:val="28"/>
        </w:rPr>
        <w:t>de </w:t>
      </w:r>
      <w:r>
        <w:rPr>
          <w:rFonts w:ascii="Calibri"/>
          <w:spacing w:val="-3"/>
          <w:sz w:val="28"/>
        </w:rPr>
        <w:t>control </w:t>
      </w:r>
      <w:r>
        <w:rPr>
          <w:rFonts w:ascii="Calibri"/>
          <w:sz w:val="28"/>
        </w:rPr>
        <w:t>de plagas en los colegios en</w:t>
      </w:r>
      <w:r>
        <w:rPr>
          <w:rFonts w:ascii="Calibri"/>
          <w:spacing w:val="-5"/>
          <w:sz w:val="28"/>
        </w:rPr>
        <w:t> </w:t>
      </w:r>
      <w:r>
        <w:rPr>
          <w:rFonts w:ascii="Calibri"/>
          <w:sz w:val="28"/>
        </w:rPr>
        <w:t>agosto.</w:t>
      </w:r>
    </w:p>
    <w:p>
      <w:pPr>
        <w:pStyle w:val="ListParagraph"/>
        <w:numPr>
          <w:ilvl w:val="1"/>
          <w:numId w:val="11"/>
        </w:numPr>
        <w:tabs>
          <w:tab w:pos="1122" w:val="left" w:leader="none"/>
        </w:tabs>
        <w:spacing w:line="254" w:lineRule="auto" w:before="18" w:after="0"/>
        <w:ind w:left="1121" w:right="420" w:hanging="360"/>
        <w:jc w:val="left"/>
        <w:rPr>
          <w:rFonts w:ascii="Calibri" w:hAnsi="Calibri"/>
          <w:sz w:val="28"/>
        </w:rPr>
      </w:pPr>
      <w:r>
        <w:rPr>
          <w:rFonts w:ascii="Calibri" w:hAnsi="Calibri"/>
          <w:sz w:val="28"/>
        </w:rPr>
        <w:t>Reparaciones</w:t>
      </w:r>
      <w:r>
        <w:rPr>
          <w:rFonts w:ascii="Calibri" w:hAnsi="Calibri"/>
          <w:spacing w:val="-8"/>
          <w:sz w:val="28"/>
        </w:rPr>
        <w:t> </w:t>
      </w:r>
      <w:r>
        <w:rPr>
          <w:rFonts w:ascii="Calibri" w:hAnsi="Calibri"/>
          <w:sz w:val="28"/>
        </w:rPr>
        <w:t>de</w:t>
      </w:r>
      <w:r>
        <w:rPr>
          <w:rFonts w:ascii="Calibri" w:hAnsi="Calibri"/>
          <w:spacing w:val="-9"/>
          <w:sz w:val="28"/>
        </w:rPr>
        <w:t> </w:t>
      </w:r>
      <w:r>
        <w:rPr>
          <w:rFonts w:ascii="Calibri" w:hAnsi="Calibri"/>
          <w:sz w:val="28"/>
        </w:rPr>
        <w:t>las</w:t>
      </w:r>
      <w:r>
        <w:rPr>
          <w:rFonts w:ascii="Calibri" w:hAnsi="Calibri"/>
          <w:spacing w:val="-7"/>
          <w:sz w:val="28"/>
        </w:rPr>
        <w:t> </w:t>
      </w:r>
      <w:r>
        <w:rPr>
          <w:rFonts w:ascii="Calibri" w:hAnsi="Calibri"/>
          <w:sz w:val="28"/>
        </w:rPr>
        <w:t>diferentes</w:t>
      </w:r>
      <w:r>
        <w:rPr>
          <w:rFonts w:ascii="Calibri" w:hAnsi="Calibri"/>
          <w:spacing w:val="-7"/>
          <w:sz w:val="28"/>
        </w:rPr>
        <w:t> </w:t>
      </w:r>
      <w:r>
        <w:rPr>
          <w:rFonts w:ascii="Calibri" w:hAnsi="Calibri"/>
          <w:sz w:val="28"/>
        </w:rPr>
        <w:t>incidencias</w:t>
      </w:r>
      <w:r>
        <w:rPr>
          <w:rFonts w:ascii="Calibri" w:hAnsi="Calibri"/>
          <w:spacing w:val="-6"/>
          <w:sz w:val="28"/>
        </w:rPr>
        <w:t> </w:t>
      </w:r>
      <w:r>
        <w:rPr>
          <w:rFonts w:ascii="Calibri" w:hAnsi="Calibri"/>
          <w:sz w:val="28"/>
        </w:rPr>
        <w:t>que</w:t>
      </w:r>
      <w:r>
        <w:rPr>
          <w:rFonts w:ascii="Calibri" w:hAnsi="Calibri"/>
          <w:spacing w:val="-8"/>
          <w:sz w:val="28"/>
        </w:rPr>
        <w:t> </w:t>
      </w:r>
      <w:r>
        <w:rPr>
          <w:rFonts w:ascii="Calibri" w:hAnsi="Calibri"/>
          <w:sz w:val="28"/>
        </w:rPr>
        <w:t>han</w:t>
      </w:r>
      <w:r>
        <w:rPr>
          <w:rFonts w:ascii="Calibri" w:hAnsi="Calibri"/>
          <w:spacing w:val="-10"/>
          <w:sz w:val="28"/>
        </w:rPr>
        <w:t> </w:t>
      </w:r>
      <w:r>
        <w:rPr>
          <w:rFonts w:ascii="Calibri" w:hAnsi="Calibri"/>
          <w:sz w:val="28"/>
        </w:rPr>
        <w:t>surgido</w:t>
      </w:r>
      <w:r>
        <w:rPr>
          <w:rFonts w:ascii="Calibri" w:hAnsi="Calibri"/>
          <w:spacing w:val="-8"/>
          <w:sz w:val="28"/>
        </w:rPr>
        <w:t> </w:t>
      </w:r>
      <w:r>
        <w:rPr>
          <w:rFonts w:ascii="Calibri" w:hAnsi="Calibri"/>
          <w:sz w:val="28"/>
        </w:rPr>
        <w:t>durante el año en los centros educativos de</w:t>
      </w:r>
      <w:r>
        <w:rPr>
          <w:rFonts w:ascii="Calibri" w:hAnsi="Calibri"/>
          <w:spacing w:val="-10"/>
          <w:sz w:val="28"/>
        </w:rPr>
        <w:t> </w:t>
      </w:r>
      <w:r>
        <w:rPr>
          <w:rFonts w:ascii="Calibri" w:hAnsi="Calibri"/>
          <w:sz w:val="28"/>
        </w:rPr>
        <w:t>primaria</w:t>
      </w:r>
    </w:p>
    <w:p>
      <w:pPr>
        <w:pStyle w:val="ListParagraph"/>
        <w:numPr>
          <w:ilvl w:val="1"/>
          <w:numId w:val="11"/>
        </w:numPr>
        <w:tabs>
          <w:tab w:pos="1122" w:val="left" w:leader="none"/>
        </w:tabs>
        <w:spacing w:line="240" w:lineRule="auto" w:before="1" w:after="0"/>
        <w:ind w:left="1122" w:right="0" w:hanging="361"/>
        <w:jc w:val="left"/>
        <w:rPr>
          <w:rFonts w:ascii="Calibri" w:hAnsi="Calibri"/>
          <w:sz w:val="28"/>
        </w:rPr>
      </w:pPr>
      <w:r>
        <w:rPr>
          <w:rFonts w:ascii="Calibri" w:hAnsi="Calibri"/>
          <w:sz w:val="28"/>
        </w:rPr>
        <w:t>Convocatoria y realización de 1 Consejo Escolar</w:t>
      </w:r>
      <w:r>
        <w:rPr>
          <w:rFonts w:ascii="Calibri" w:hAnsi="Calibri"/>
          <w:spacing w:val="-17"/>
          <w:sz w:val="28"/>
        </w:rPr>
        <w:t> </w:t>
      </w:r>
      <w:r>
        <w:rPr>
          <w:rFonts w:ascii="Calibri" w:hAnsi="Calibri"/>
          <w:sz w:val="28"/>
        </w:rPr>
        <w:t>Municipal.</w:t>
      </w:r>
    </w:p>
    <w:p>
      <w:pPr>
        <w:pStyle w:val="ListParagraph"/>
        <w:numPr>
          <w:ilvl w:val="1"/>
          <w:numId w:val="11"/>
        </w:numPr>
        <w:tabs>
          <w:tab w:pos="1122" w:val="left" w:leader="none"/>
        </w:tabs>
        <w:spacing w:line="254" w:lineRule="auto" w:before="18" w:after="0"/>
        <w:ind w:left="1121" w:right="377" w:hanging="360"/>
        <w:jc w:val="left"/>
        <w:rPr>
          <w:rFonts w:ascii="Calibri" w:hAnsi="Calibri"/>
          <w:sz w:val="28"/>
        </w:rPr>
      </w:pPr>
      <w:r>
        <w:rPr>
          <w:rFonts w:ascii="Calibri" w:hAnsi="Calibri"/>
          <w:sz w:val="28"/>
        </w:rPr>
        <w:t>Asistencia</w:t>
      </w:r>
      <w:r>
        <w:rPr>
          <w:rFonts w:ascii="Calibri" w:hAnsi="Calibri"/>
          <w:spacing w:val="-5"/>
          <w:sz w:val="28"/>
        </w:rPr>
        <w:t> </w:t>
      </w:r>
      <w:r>
        <w:rPr>
          <w:rFonts w:ascii="Calibri" w:hAnsi="Calibri"/>
          <w:sz w:val="28"/>
        </w:rPr>
        <w:t>a</w:t>
      </w:r>
      <w:r>
        <w:rPr>
          <w:rFonts w:ascii="Calibri" w:hAnsi="Calibri"/>
          <w:spacing w:val="-5"/>
          <w:sz w:val="28"/>
        </w:rPr>
        <w:t> </w:t>
      </w:r>
      <w:r>
        <w:rPr>
          <w:rFonts w:ascii="Calibri" w:hAnsi="Calibri"/>
          <w:sz w:val="28"/>
        </w:rPr>
        <w:t>más</w:t>
      </w:r>
      <w:r>
        <w:rPr>
          <w:rFonts w:ascii="Calibri" w:hAnsi="Calibri"/>
          <w:spacing w:val="-3"/>
          <w:sz w:val="28"/>
        </w:rPr>
        <w:t> </w:t>
      </w:r>
      <w:r>
        <w:rPr>
          <w:rFonts w:ascii="Calibri" w:hAnsi="Calibri"/>
          <w:sz w:val="28"/>
        </w:rPr>
        <w:t>de</w:t>
      </w:r>
      <w:r>
        <w:rPr>
          <w:rFonts w:ascii="Calibri" w:hAnsi="Calibri"/>
          <w:spacing w:val="-6"/>
          <w:sz w:val="28"/>
        </w:rPr>
        <w:t> </w:t>
      </w:r>
      <w:r>
        <w:rPr>
          <w:rFonts w:ascii="Calibri" w:hAnsi="Calibri"/>
          <w:sz w:val="28"/>
        </w:rPr>
        <w:t>23</w:t>
      </w:r>
      <w:r>
        <w:rPr>
          <w:rFonts w:ascii="Calibri" w:hAnsi="Calibri"/>
          <w:spacing w:val="-6"/>
          <w:sz w:val="28"/>
        </w:rPr>
        <w:t> </w:t>
      </w:r>
      <w:r>
        <w:rPr>
          <w:rFonts w:ascii="Calibri" w:hAnsi="Calibri"/>
          <w:sz w:val="28"/>
        </w:rPr>
        <w:t>concejos</w:t>
      </w:r>
      <w:r>
        <w:rPr>
          <w:rFonts w:ascii="Calibri" w:hAnsi="Calibri"/>
          <w:spacing w:val="-4"/>
          <w:sz w:val="28"/>
        </w:rPr>
        <w:t> </w:t>
      </w:r>
      <w:r>
        <w:rPr>
          <w:rFonts w:ascii="Calibri" w:hAnsi="Calibri"/>
          <w:sz w:val="28"/>
        </w:rPr>
        <w:t>escolares</w:t>
      </w:r>
      <w:r>
        <w:rPr>
          <w:rFonts w:ascii="Calibri" w:hAnsi="Calibri"/>
          <w:spacing w:val="-7"/>
          <w:sz w:val="28"/>
        </w:rPr>
        <w:t> </w:t>
      </w:r>
      <w:r>
        <w:rPr>
          <w:rFonts w:ascii="Calibri" w:hAnsi="Calibri"/>
          <w:sz w:val="28"/>
        </w:rPr>
        <w:t>de</w:t>
      </w:r>
      <w:r>
        <w:rPr>
          <w:rFonts w:ascii="Calibri" w:hAnsi="Calibri"/>
          <w:spacing w:val="-5"/>
          <w:sz w:val="28"/>
        </w:rPr>
        <w:t> </w:t>
      </w:r>
      <w:r>
        <w:rPr>
          <w:rFonts w:ascii="Calibri" w:hAnsi="Calibri"/>
          <w:sz w:val="28"/>
        </w:rPr>
        <w:t>los</w:t>
      </w:r>
      <w:r>
        <w:rPr>
          <w:rFonts w:ascii="Calibri" w:hAnsi="Calibri"/>
          <w:spacing w:val="-4"/>
          <w:sz w:val="28"/>
        </w:rPr>
        <w:t> </w:t>
      </w:r>
      <w:r>
        <w:rPr>
          <w:rFonts w:ascii="Calibri" w:hAnsi="Calibri"/>
          <w:sz w:val="28"/>
        </w:rPr>
        <w:t>centros</w:t>
      </w:r>
      <w:r>
        <w:rPr>
          <w:rFonts w:ascii="Calibri" w:hAnsi="Calibri"/>
          <w:spacing w:val="-4"/>
          <w:sz w:val="28"/>
        </w:rPr>
        <w:t> </w:t>
      </w:r>
      <w:r>
        <w:rPr>
          <w:rFonts w:ascii="Calibri" w:hAnsi="Calibri"/>
          <w:sz w:val="28"/>
        </w:rPr>
        <w:t>educativos de primaria y secundaria del</w:t>
      </w:r>
      <w:r>
        <w:rPr>
          <w:rFonts w:ascii="Calibri" w:hAnsi="Calibri"/>
          <w:spacing w:val="-6"/>
          <w:sz w:val="28"/>
        </w:rPr>
        <w:t> </w:t>
      </w:r>
      <w:r>
        <w:rPr>
          <w:rFonts w:ascii="Calibri" w:hAnsi="Calibri"/>
          <w:sz w:val="28"/>
        </w:rPr>
        <w:t>municipio.</w:t>
      </w:r>
    </w:p>
    <w:p>
      <w:pPr>
        <w:pStyle w:val="ListParagraph"/>
        <w:numPr>
          <w:ilvl w:val="1"/>
          <w:numId w:val="11"/>
        </w:numPr>
        <w:tabs>
          <w:tab w:pos="1122" w:val="left" w:leader="none"/>
        </w:tabs>
        <w:spacing w:line="254" w:lineRule="auto" w:before="0" w:after="0"/>
        <w:ind w:left="1121" w:right="809" w:hanging="360"/>
        <w:jc w:val="left"/>
        <w:rPr>
          <w:rFonts w:ascii="Calibri" w:hAnsi="Calibri"/>
          <w:sz w:val="28"/>
        </w:rPr>
      </w:pPr>
      <w:r>
        <w:rPr>
          <w:rFonts w:ascii="Calibri" w:hAnsi="Calibri"/>
          <w:sz w:val="28"/>
        </w:rPr>
        <w:t>Visita a los centros educativos en el verano </w:t>
      </w:r>
      <w:r>
        <w:rPr>
          <w:rFonts w:ascii="Calibri" w:hAnsi="Calibri"/>
          <w:spacing w:val="-3"/>
          <w:sz w:val="28"/>
        </w:rPr>
        <w:t>durante </w:t>
      </w:r>
      <w:r>
        <w:rPr>
          <w:rFonts w:ascii="Calibri" w:hAnsi="Calibri"/>
          <w:sz w:val="28"/>
        </w:rPr>
        <w:t>las obras</w:t>
      </w:r>
      <w:r>
        <w:rPr>
          <w:rFonts w:ascii="Calibri" w:hAnsi="Calibri"/>
          <w:spacing w:val="-42"/>
          <w:sz w:val="28"/>
        </w:rPr>
        <w:t> </w:t>
      </w:r>
      <w:r>
        <w:rPr>
          <w:rFonts w:ascii="Calibri" w:hAnsi="Calibri"/>
          <w:sz w:val="28"/>
        </w:rPr>
        <w:t>de reparación</w:t>
      </w:r>
      <w:r>
        <w:rPr>
          <w:rFonts w:ascii="Calibri" w:hAnsi="Calibri"/>
          <w:spacing w:val="-47"/>
          <w:sz w:val="28"/>
        </w:rPr>
        <w:t> </w:t>
      </w:r>
      <w:r>
        <w:rPr>
          <w:rFonts w:ascii="Calibri" w:hAnsi="Calibri"/>
          <w:sz w:val="28"/>
        </w:rPr>
        <w:t>y mantenimiento solicitadas por los centros y visitas</w:t>
      </w:r>
    </w:p>
    <w:p>
      <w:pPr>
        <w:spacing w:after="0" w:line="254" w:lineRule="auto"/>
        <w:jc w:val="left"/>
        <w:rPr>
          <w:rFonts w:ascii="Calibri" w:hAnsi="Calibri"/>
          <w:sz w:val="28"/>
        </w:rPr>
        <w:sectPr>
          <w:pgSz w:w="11910" w:h="16840"/>
          <w:pgMar w:header="1217" w:footer="0" w:top="2740" w:bottom="280" w:left="1300" w:right="1440"/>
        </w:sectPr>
      </w:pPr>
    </w:p>
    <w:p>
      <w:pPr>
        <w:pStyle w:val="BodyText"/>
        <w:rPr>
          <w:rFonts w:ascii="Calibri"/>
          <w:sz w:val="20"/>
        </w:rPr>
      </w:pPr>
    </w:p>
    <w:p>
      <w:pPr>
        <w:pStyle w:val="BodyText"/>
        <w:rPr>
          <w:rFonts w:ascii="Calibri"/>
          <w:sz w:val="21"/>
        </w:rPr>
      </w:pPr>
    </w:p>
    <w:p>
      <w:pPr>
        <w:spacing w:line="254" w:lineRule="auto" w:before="44"/>
        <w:ind w:left="1121" w:right="263" w:firstLine="0"/>
        <w:jc w:val="left"/>
        <w:rPr>
          <w:rFonts w:ascii="Calibri" w:hAnsi="Calibri"/>
          <w:sz w:val="28"/>
        </w:rPr>
      </w:pPr>
      <w:r>
        <w:rPr>
          <w:rFonts w:ascii="Calibri" w:hAnsi="Calibri"/>
          <w:sz w:val="28"/>
        </w:rPr>
        <w:t>posteriores con los centros abiertos, reuniones con Ampas y dirección de los centros.</w:t>
      </w:r>
    </w:p>
    <w:p>
      <w:pPr>
        <w:pStyle w:val="ListParagraph"/>
        <w:numPr>
          <w:ilvl w:val="1"/>
          <w:numId w:val="11"/>
        </w:numPr>
        <w:tabs>
          <w:tab w:pos="1122" w:val="left" w:leader="none"/>
        </w:tabs>
        <w:spacing w:line="340" w:lineRule="exact" w:before="0" w:after="0"/>
        <w:ind w:left="1122" w:right="0" w:hanging="361"/>
        <w:jc w:val="left"/>
        <w:rPr>
          <w:rFonts w:ascii="Calibri" w:hAnsi="Calibri"/>
          <w:sz w:val="28"/>
        </w:rPr>
      </w:pPr>
      <w:r>
        <w:rPr>
          <w:rFonts w:ascii="Calibri" w:hAnsi="Calibri"/>
          <w:sz w:val="28"/>
        </w:rPr>
        <w:t>Gestionada la subvención nominada al Consorcio de la</w:t>
      </w:r>
      <w:r>
        <w:rPr>
          <w:rFonts w:ascii="Calibri" w:hAnsi="Calibri"/>
          <w:spacing w:val="-16"/>
          <w:sz w:val="28"/>
        </w:rPr>
        <w:t> </w:t>
      </w:r>
      <w:r>
        <w:rPr>
          <w:rFonts w:ascii="Calibri" w:hAnsi="Calibri"/>
          <w:sz w:val="28"/>
        </w:rPr>
        <w:t>UNED</w:t>
      </w:r>
    </w:p>
    <w:p>
      <w:pPr>
        <w:pStyle w:val="ListParagraph"/>
        <w:numPr>
          <w:ilvl w:val="1"/>
          <w:numId w:val="11"/>
        </w:numPr>
        <w:tabs>
          <w:tab w:pos="1122" w:val="left" w:leader="none"/>
        </w:tabs>
        <w:spacing w:line="254" w:lineRule="auto" w:before="20" w:after="0"/>
        <w:ind w:left="1121" w:right="1390" w:hanging="360"/>
        <w:jc w:val="left"/>
        <w:rPr>
          <w:rFonts w:ascii="Calibri" w:hAnsi="Calibri"/>
          <w:sz w:val="28"/>
        </w:rPr>
      </w:pPr>
      <w:r>
        <w:rPr>
          <w:rFonts w:ascii="Calibri" w:hAnsi="Calibri"/>
          <w:sz w:val="28"/>
        </w:rPr>
        <w:t>Gestionadas las ayudas de emergencia social a</w:t>
      </w:r>
      <w:r>
        <w:rPr>
          <w:rFonts w:ascii="Calibri" w:hAnsi="Calibri"/>
          <w:spacing w:val="-33"/>
          <w:sz w:val="28"/>
        </w:rPr>
        <w:t> </w:t>
      </w:r>
      <w:r>
        <w:rPr>
          <w:rFonts w:ascii="Calibri" w:hAnsi="Calibri"/>
          <w:sz w:val="28"/>
        </w:rPr>
        <w:t>estudiantes afincados en el municipio de</w:t>
      </w:r>
      <w:r>
        <w:rPr>
          <w:rFonts w:ascii="Calibri" w:hAnsi="Calibri"/>
          <w:spacing w:val="-8"/>
          <w:sz w:val="28"/>
        </w:rPr>
        <w:t> </w:t>
      </w:r>
      <w:r>
        <w:rPr>
          <w:rFonts w:ascii="Calibri" w:hAnsi="Calibri"/>
          <w:sz w:val="28"/>
        </w:rPr>
        <w:t>Tías</w:t>
      </w:r>
    </w:p>
    <w:p>
      <w:pPr>
        <w:pStyle w:val="ListParagraph"/>
        <w:numPr>
          <w:ilvl w:val="1"/>
          <w:numId w:val="11"/>
        </w:numPr>
        <w:tabs>
          <w:tab w:pos="1122" w:val="left" w:leader="none"/>
        </w:tabs>
        <w:spacing w:line="254" w:lineRule="auto" w:before="0" w:after="0"/>
        <w:ind w:left="1121" w:right="431" w:hanging="360"/>
        <w:jc w:val="left"/>
        <w:rPr>
          <w:rFonts w:ascii="Calibri" w:hAnsi="Calibri"/>
          <w:sz w:val="28"/>
        </w:rPr>
      </w:pPr>
      <w:r>
        <w:rPr>
          <w:rFonts w:ascii="Calibri" w:hAnsi="Calibri"/>
          <w:sz w:val="28"/>
        </w:rPr>
        <w:t>Colaboración con el CEIP ALCALDE </w:t>
      </w:r>
      <w:r>
        <w:rPr>
          <w:rFonts w:ascii="Calibri" w:hAnsi="Calibri"/>
          <w:spacing w:val="-3"/>
          <w:sz w:val="28"/>
        </w:rPr>
        <w:t>RAFAEL </w:t>
      </w:r>
      <w:r>
        <w:rPr>
          <w:rFonts w:ascii="Calibri" w:hAnsi="Calibri"/>
          <w:sz w:val="28"/>
        </w:rPr>
        <w:t>CEDRÉS y con el IES</w:t>
      </w:r>
      <w:r>
        <w:rPr>
          <w:rFonts w:ascii="Calibri" w:hAnsi="Calibri"/>
          <w:spacing w:val="-37"/>
          <w:sz w:val="28"/>
        </w:rPr>
        <w:t> </w:t>
      </w:r>
      <w:r>
        <w:rPr>
          <w:rFonts w:ascii="Calibri" w:hAnsi="Calibri"/>
          <w:sz w:val="28"/>
        </w:rPr>
        <w:t>TÍAS </w:t>
      </w:r>
      <w:r>
        <w:rPr>
          <w:rFonts w:ascii="Calibri" w:hAnsi="Calibri"/>
          <w:spacing w:val="-3"/>
          <w:sz w:val="28"/>
        </w:rPr>
        <w:t>para </w:t>
      </w:r>
      <w:r>
        <w:rPr>
          <w:rFonts w:ascii="Calibri" w:hAnsi="Calibri"/>
          <w:sz w:val="28"/>
        </w:rPr>
        <w:t>la solicitud y recepción de ayudas con infraestructuras</w:t>
      </w:r>
      <w:r>
        <w:rPr>
          <w:rFonts w:ascii="Calibri" w:hAnsi="Calibri"/>
          <w:spacing w:val="-23"/>
          <w:sz w:val="28"/>
        </w:rPr>
        <w:t> </w:t>
      </w:r>
      <w:r>
        <w:rPr>
          <w:rFonts w:ascii="Calibri" w:hAnsi="Calibri"/>
          <w:sz w:val="28"/>
        </w:rPr>
        <w:t>al</w:t>
      </w:r>
    </w:p>
    <w:p>
      <w:pPr>
        <w:spacing w:before="0"/>
        <w:ind w:left="1121" w:right="0" w:firstLine="0"/>
        <w:jc w:val="left"/>
        <w:rPr>
          <w:rFonts w:ascii="Calibri"/>
          <w:sz w:val="28"/>
        </w:rPr>
      </w:pPr>
      <w:r>
        <w:rPr>
          <w:rFonts w:ascii="Calibri"/>
          <w:sz w:val="28"/>
        </w:rPr>
        <w:t>Gobierno de Canarias.</w:t>
      </w:r>
    </w:p>
    <w:p>
      <w:pPr>
        <w:pStyle w:val="ListParagraph"/>
        <w:numPr>
          <w:ilvl w:val="1"/>
          <w:numId w:val="11"/>
        </w:numPr>
        <w:tabs>
          <w:tab w:pos="1122" w:val="left" w:leader="none"/>
        </w:tabs>
        <w:spacing w:line="252" w:lineRule="auto" w:before="20" w:after="0"/>
        <w:ind w:left="1121" w:right="951" w:hanging="360"/>
        <w:jc w:val="left"/>
        <w:rPr>
          <w:rFonts w:ascii="Calibri" w:hAnsi="Calibri"/>
          <w:b/>
          <w:sz w:val="28"/>
        </w:rPr>
      </w:pPr>
      <w:r>
        <w:rPr>
          <w:rFonts w:ascii="Calibri" w:hAnsi="Calibri"/>
          <w:b/>
          <w:sz w:val="28"/>
        </w:rPr>
        <w:t>LA CONSEJERÍA DE EDUCACIÓN DEL GOBIERNO DE</w:t>
      </w:r>
      <w:r>
        <w:rPr>
          <w:rFonts w:ascii="Calibri" w:hAnsi="Calibri"/>
          <w:b/>
          <w:spacing w:val="-29"/>
          <w:sz w:val="28"/>
        </w:rPr>
        <w:t> </w:t>
      </w:r>
      <w:r>
        <w:rPr>
          <w:rFonts w:ascii="Calibri" w:hAnsi="Calibri"/>
          <w:b/>
          <w:sz w:val="28"/>
        </w:rPr>
        <w:t>CANARIAS CONCEDE EN 2025 LAS SIGUIENTES </w:t>
      </w:r>
      <w:r>
        <w:rPr>
          <w:rFonts w:ascii="Calibri" w:hAnsi="Calibri"/>
          <w:b/>
          <w:spacing w:val="-6"/>
          <w:sz w:val="28"/>
        </w:rPr>
        <w:t>AYUDAS </w:t>
      </w:r>
      <w:r>
        <w:rPr>
          <w:rFonts w:ascii="Calibri" w:hAnsi="Calibri"/>
          <w:b/>
          <w:sz w:val="28"/>
        </w:rPr>
        <w:t>A </w:t>
      </w:r>
      <w:r>
        <w:rPr>
          <w:rFonts w:ascii="Calibri" w:hAnsi="Calibri"/>
          <w:b/>
          <w:spacing w:val="-3"/>
          <w:sz w:val="28"/>
        </w:rPr>
        <w:t>LOS</w:t>
      </w:r>
      <w:r>
        <w:rPr>
          <w:rFonts w:ascii="Calibri" w:hAnsi="Calibri"/>
          <w:b/>
          <w:spacing w:val="-13"/>
          <w:sz w:val="28"/>
        </w:rPr>
        <w:t> </w:t>
      </w:r>
      <w:r>
        <w:rPr>
          <w:rFonts w:ascii="Calibri" w:hAnsi="Calibri"/>
          <w:b/>
          <w:sz w:val="28"/>
        </w:rPr>
        <w:t>CENTROS</w:t>
      </w:r>
    </w:p>
    <w:p>
      <w:pPr>
        <w:spacing w:line="254" w:lineRule="auto" w:before="4"/>
        <w:ind w:left="1121" w:right="263" w:firstLine="0"/>
        <w:jc w:val="left"/>
        <w:rPr>
          <w:rFonts w:ascii="Calibri" w:hAnsi="Calibri"/>
          <w:b/>
          <w:sz w:val="28"/>
        </w:rPr>
      </w:pPr>
      <w:r>
        <w:rPr>
          <w:rFonts w:ascii="Calibri" w:hAnsi="Calibri"/>
          <w:b/>
          <w:sz w:val="28"/>
        </w:rPr>
        <w:t>EDUCATIVOS DEL MUNICIPIO CON LA COLABORACIÓN PARA LA GESTIÓN DE LA SOLICITUD Y COMPROMISO DE MANTENIMIENTO DE LOS CENTROS DE PRIMARIA :</w:t>
      </w:r>
    </w:p>
    <w:p>
      <w:pPr>
        <w:spacing w:line="340" w:lineRule="exact" w:before="0"/>
        <w:ind w:left="1121" w:right="0" w:firstLine="0"/>
        <w:jc w:val="left"/>
        <w:rPr>
          <w:rFonts w:ascii="Calibri" w:hAnsi="Calibri"/>
          <w:i/>
          <w:sz w:val="28"/>
        </w:rPr>
      </w:pPr>
      <w:r>
        <w:rPr>
          <w:rFonts w:ascii="Calibri" w:hAnsi="Calibri"/>
          <w:i/>
          <w:sz w:val="28"/>
        </w:rPr>
        <w:t>CEIP ALCALDE RAFAEL CEDRÉS :</w:t>
      </w:r>
    </w:p>
    <w:p>
      <w:pPr>
        <w:pStyle w:val="ListParagraph"/>
        <w:numPr>
          <w:ilvl w:val="2"/>
          <w:numId w:val="11"/>
        </w:numPr>
        <w:tabs>
          <w:tab w:pos="1481" w:val="left" w:leader="none"/>
          <w:tab w:pos="1482" w:val="left" w:leader="none"/>
        </w:tabs>
        <w:spacing w:line="240" w:lineRule="auto" w:before="21" w:after="0"/>
        <w:ind w:left="1482" w:right="0" w:hanging="361"/>
        <w:jc w:val="left"/>
        <w:rPr>
          <w:rFonts w:ascii="Calibri" w:hAnsi="Calibri"/>
          <w:sz w:val="28"/>
        </w:rPr>
      </w:pPr>
      <w:r>
        <w:rPr>
          <w:rFonts w:ascii="Calibri" w:hAnsi="Calibri"/>
          <w:spacing w:val="-3"/>
          <w:sz w:val="28"/>
        </w:rPr>
        <w:t>Proyecto </w:t>
      </w:r>
      <w:r>
        <w:rPr>
          <w:rFonts w:ascii="Calibri" w:hAnsi="Calibri"/>
          <w:sz w:val="28"/>
        </w:rPr>
        <w:t>de Naturalización por importe de</w:t>
      </w:r>
      <w:r>
        <w:rPr>
          <w:rFonts w:ascii="Calibri" w:hAnsi="Calibri"/>
          <w:spacing w:val="-10"/>
          <w:sz w:val="28"/>
        </w:rPr>
        <w:t> </w:t>
      </w:r>
      <w:r>
        <w:rPr>
          <w:rFonts w:ascii="Calibri" w:hAnsi="Calibri"/>
          <w:sz w:val="28"/>
        </w:rPr>
        <w:t>40.574,40€</w:t>
      </w:r>
    </w:p>
    <w:p>
      <w:pPr>
        <w:pStyle w:val="ListParagraph"/>
        <w:numPr>
          <w:ilvl w:val="2"/>
          <w:numId w:val="11"/>
        </w:numPr>
        <w:tabs>
          <w:tab w:pos="1481" w:val="left" w:leader="none"/>
          <w:tab w:pos="1482" w:val="left" w:leader="none"/>
        </w:tabs>
        <w:spacing w:line="254" w:lineRule="auto" w:before="20" w:after="0"/>
        <w:ind w:left="1482" w:right="317" w:hanging="360"/>
        <w:jc w:val="left"/>
        <w:rPr>
          <w:rFonts w:ascii="Calibri" w:hAnsi="Calibri"/>
          <w:sz w:val="28"/>
        </w:rPr>
      </w:pPr>
      <w:r>
        <w:rPr>
          <w:rFonts w:ascii="Calibri" w:hAnsi="Calibri"/>
          <w:spacing w:val="-3"/>
          <w:sz w:val="28"/>
        </w:rPr>
        <w:t>Proyecto </w:t>
      </w:r>
      <w:r>
        <w:rPr>
          <w:rFonts w:ascii="Calibri" w:hAnsi="Calibri"/>
          <w:sz w:val="28"/>
        </w:rPr>
        <w:t>de Mejoras (renovación de puertas y ventanas viejas</w:t>
      </w:r>
      <w:r>
        <w:rPr>
          <w:rFonts w:ascii="Calibri" w:hAnsi="Calibri"/>
          <w:spacing w:val="-28"/>
          <w:sz w:val="28"/>
        </w:rPr>
        <w:t> </w:t>
      </w:r>
      <w:r>
        <w:rPr>
          <w:rFonts w:ascii="Calibri" w:hAnsi="Calibri"/>
          <w:sz w:val="28"/>
        </w:rPr>
        <w:t>de las aulas por aluminio) por importe de 40.000€ </w:t>
      </w:r>
      <w:r>
        <w:rPr>
          <w:rFonts w:ascii="Calibri" w:hAnsi="Calibri"/>
          <w:spacing w:val="-3"/>
          <w:sz w:val="28"/>
        </w:rPr>
        <w:t>ya </w:t>
      </w:r>
      <w:r>
        <w:rPr>
          <w:rFonts w:ascii="Calibri" w:hAnsi="Calibri"/>
          <w:sz w:val="28"/>
        </w:rPr>
        <w:t>ingresados en la cuenta bancaria del</w:t>
      </w:r>
      <w:r>
        <w:rPr>
          <w:rFonts w:ascii="Calibri" w:hAnsi="Calibri"/>
          <w:spacing w:val="-5"/>
          <w:sz w:val="28"/>
        </w:rPr>
        <w:t> </w:t>
      </w:r>
      <w:r>
        <w:rPr>
          <w:rFonts w:ascii="Calibri" w:hAnsi="Calibri"/>
          <w:sz w:val="28"/>
        </w:rPr>
        <w:t>centro.</w:t>
      </w:r>
    </w:p>
    <w:p>
      <w:pPr>
        <w:spacing w:line="340" w:lineRule="exact" w:before="0"/>
        <w:ind w:left="1121" w:right="0" w:firstLine="0"/>
        <w:jc w:val="left"/>
        <w:rPr>
          <w:rFonts w:ascii="Calibri" w:hAnsi="Calibri"/>
          <w:i/>
          <w:sz w:val="28"/>
        </w:rPr>
      </w:pPr>
      <w:r>
        <w:rPr>
          <w:rFonts w:ascii="Calibri" w:hAnsi="Calibri"/>
          <w:i/>
          <w:sz w:val="28"/>
        </w:rPr>
        <w:t>IES TÍAS:</w:t>
      </w:r>
    </w:p>
    <w:p>
      <w:pPr>
        <w:pStyle w:val="ListParagraph"/>
        <w:numPr>
          <w:ilvl w:val="2"/>
          <w:numId w:val="11"/>
        </w:numPr>
        <w:tabs>
          <w:tab w:pos="1481" w:val="left" w:leader="none"/>
          <w:tab w:pos="1482" w:val="left" w:leader="none"/>
        </w:tabs>
        <w:spacing w:line="254" w:lineRule="auto" w:before="21" w:after="0"/>
        <w:ind w:left="1482" w:right="381" w:hanging="360"/>
        <w:jc w:val="left"/>
        <w:rPr>
          <w:rFonts w:ascii="Calibri" w:hAnsi="Calibri"/>
          <w:sz w:val="28"/>
        </w:rPr>
      </w:pPr>
      <w:r>
        <w:rPr>
          <w:rFonts w:ascii="Calibri" w:hAnsi="Calibri"/>
          <w:spacing w:val="-3"/>
          <w:sz w:val="28"/>
        </w:rPr>
        <w:t>Proyecto </w:t>
      </w:r>
      <w:r>
        <w:rPr>
          <w:rFonts w:ascii="Calibri" w:hAnsi="Calibri"/>
          <w:sz w:val="28"/>
        </w:rPr>
        <w:t>de Mejoras de Infraestructuras (arreglo de muros y fachadas </w:t>
      </w:r>
      <w:r>
        <w:rPr>
          <w:rFonts w:ascii="Calibri" w:hAnsi="Calibri"/>
          <w:spacing w:val="-10"/>
          <w:sz w:val="28"/>
        </w:rPr>
        <w:t>y, </w:t>
      </w:r>
      <w:r>
        <w:rPr>
          <w:rFonts w:ascii="Calibri" w:hAnsi="Calibri"/>
          <w:sz w:val="28"/>
        </w:rPr>
        <w:t>pintado de parte de las fachadas del patio y</w:t>
      </w:r>
      <w:r>
        <w:rPr>
          <w:rFonts w:ascii="Calibri" w:hAnsi="Calibri"/>
          <w:spacing w:val="-32"/>
          <w:sz w:val="28"/>
        </w:rPr>
        <w:t> </w:t>
      </w:r>
      <w:r>
        <w:rPr>
          <w:rFonts w:ascii="Calibri" w:hAnsi="Calibri"/>
          <w:sz w:val="28"/>
        </w:rPr>
        <w:t>pabellón por importe de 40.000€ </w:t>
      </w:r>
      <w:r>
        <w:rPr>
          <w:rFonts w:ascii="Calibri" w:hAnsi="Calibri"/>
          <w:spacing w:val="-3"/>
          <w:sz w:val="28"/>
        </w:rPr>
        <w:t>ya </w:t>
      </w:r>
      <w:r>
        <w:rPr>
          <w:rFonts w:ascii="Calibri" w:hAnsi="Calibri"/>
          <w:sz w:val="28"/>
        </w:rPr>
        <w:t>ingresado en la cuenta bancaria del centro y con la aprobación final de la Consejería </w:t>
      </w:r>
      <w:r>
        <w:rPr>
          <w:rFonts w:ascii="Calibri" w:hAnsi="Calibri"/>
          <w:spacing w:val="-3"/>
          <w:sz w:val="28"/>
        </w:rPr>
        <w:t>para </w:t>
      </w:r>
      <w:r>
        <w:rPr>
          <w:rFonts w:ascii="Calibri" w:hAnsi="Calibri"/>
          <w:sz w:val="28"/>
        </w:rPr>
        <w:t>comenzar con la</w:t>
      </w:r>
      <w:r>
        <w:rPr>
          <w:rFonts w:ascii="Calibri" w:hAnsi="Calibri"/>
          <w:spacing w:val="-4"/>
          <w:sz w:val="28"/>
        </w:rPr>
        <w:t> </w:t>
      </w:r>
      <w:r>
        <w:rPr>
          <w:rFonts w:ascii="Calibri" w:hAnsi="Calibri"/>
          <w:sz w:val="28"/>
        </w:rPr>
        <w:t>obra.</w:t>
      </w:r>
    </w:p>
    <w:p>
      <w:pPr>
        <w:pStyle w:val="ListParagraph"/>
        <w:numPr>
          <w:ilvl w:val="2"/>
          <w:numId w:val="11"/>
        </w:numPr>
        <w:tabs>
          <w:tab w:pos="1481" w:val="left" w:leader="none"/>
          <w:tab w:pos="1482" w:val="left" w:leader="none"/>
        </w:tabs>
        <w:spacing w:line="337" w:lineRule="exact" w:before="0" w:after="0"/>
        <w:ind w:left="1482" w:right="0" w:hanging="361"/>
        <w:jc w:val="left"/>
        <w:rPr>
          <w:rFonts w:ascii="Calibri" w:hAnsi="Calibri"/>
          <w:sz w:val="28"/>
        </w:rPr>
      </w:pPr>
      <w:r>
        <w:rPr>
          <w:rFonts w:ascii="Calibri" w:hAnsi="Calibri"/>
          <w:spacing w:val="-3"/>
          <w:sz w:val="28"/>
        </w:rPr>
        <w:t>Proyecto </w:t>
      </w:r>
      <w:r>
        <w:rPr>
          <w:rFonts w:ascii="Calibri" w:hAnsi="Calibri"/>
          <w:sz w:val="28"/>
        </w:rPr>
        <w:t>de Sombras por un importe de 40.000€ </w:t>
      </w:r>
      <w:r>
        <w:rPr>
          <w:rFonts w:ascii="Calibri" w:hAnsi="Calibri"/>
          <w:spacing w:val="-3"/>
          <w:sz w:val="28"/>
        </w:rPr>
        <w:t>para</w:t>
      </w:r>
      <w:r>
        <w:rPr>
          <w:rFonts w:ascii="Calibri" w:hAnsi="Calibri"/>
          <w:spacing w:val="-13"/>
          <w:sz w:val="28"/>
        </w:rPr>
        <w:t> </w:t>
      </w:r>
      <w:r>
        <w:rPr>
          <w:rFonts w:ascii="Calibri" w:hAnsi="Calibri"/>
          <w:sz w:val="28"/>
        </w:rPr>
        <w:t>la</w:t>
      </w:r>
    </w:p>
    <w:p>
      <w:pPr>
        <w:spacing w:line="254" w:lineRule="auto" w:before="21"/>
        <w:ind w:left="1482" w:right="263" w:firstLine="0"/>
        <w:jc w:val="left"/>
        <w:rPr>
          <w:rFonts w:ascii="Calibri" w:hAnsi="Calibri"/>
          <w:sz w:val="28"/>
        </w:rPr>
      </w:pPr>
      <w:r>
        <w:rPr>
          <w:rFonts w:ascii="Calibri" w:hAnsi="Calibri"/>
          <w:sz w:val="28"/>
        </w:rPr>
        <w:t>construcción de pérgolas, dinero ya ingresado pendiente del ok de la consejería para el comienzo.</w:t>
      </w:r>
    </w:p>
    <w:p>
      <w:pPr>
        <w:pStyle w:val="ListParagraph"/>
        <w:numPr>
          <w:ilvl w:val="2"/>
          <w:numId w:val="11"/>
        </w:numPr>
        <w:tabs>
          <w:tab w:pos="1481" w:val="left" w:leader="none"/>
          <w:tab w:pos="1482" w:val="left" w:leader="none"/>
        </w:tabs>
        <w:spacing w:line="254" w:lineRule="auto" w:before="0" w:after="0"/>
        <w:ind w:left="1482" w:right="509" w:hanging="360"/>
        <w:jc w:val="left"/>
        <w:rPr>
          <w:rFonts w:ascii="Calibri" w:hAnsi="Calibri"/>
          <w:sz w:val="28"/>
        </w:rPr>
      </w:pPr>
      <w:r>
        <w:rPr>
          <w:rFonts w:ascii="Calibri" w:hAnsi="Calibri"/>
          <w:spacing w:val="-3"/>
          <w:sz w:val="28"/>
        </w:rPr>
        <w:t>Proyecto </w:t>
      </w:r>
      <w:r>
        <w:rPr>
          <w:rFonts w:ascii="Calibri" w:hAnsi="Calibri"/>
          <w:sz w:val="28"/>
        </w:rPr>
        <w:t>de Naturalización de espacios por un importe de</w:t>
      </w:r>
      <w:r>
        <w:rPr>
          <w:rFonts w:ascii="Calibri" w:hAnsi="Calibri"/>
          <w:spacing w:val="-31"/>
          <w:sz w:val="28"/>
        </w:rPr>
        <w:t> </w:t>
      </w:r>
      <w:r>
        <w:rPr>
          <w:rFonts w:ascii="Calibri" w:hAnsi="Calibri"/>
          <w:sz w:val="28"/>
        </w:rPr>
        <w:t>unos 27.000€.</w:t>
      </w:r>
    </w:p>
    <w:p>
      <w:pPr>
        <w:spacing w:before="0"/>
        <w:ind w:left="1121" w:right="0" w:firstLine="0"/>
        <w:jc w:val="left"/>
        <w:rPr>
          <w:rFonts w:ascii="Calibri" w:hAnsi="Calibri"/>
          <w:i/>
          <w:sz w:val="28"/>
        </w:rPr>
      </w:pPr>
      <w:r>
        <w:rPr>
          <w:rFonts w:ascii="Calibri" w:hAnsi="Calibri"/>
          <w:i/>
          <w:sz w:val="28"/>
        </w:rPr>
        <w:t>CEIP ASOMADA-MÁCHER</w:t>
      </w:r>
    </w:p>
    <w:p>
      <w:pPr>
        <w:pStyle w:val="ListParagraph"/>
        <w:numPr>
          <w:ilvl w:val="2"/>
          <w:numId w:val="11"/>
        </w:numPr>
        <w:tabs>
          <w:tab w:pos="1481" w:val="left" w:leader="none"/>
          <w:tab w:pos="1482" w:val="left" w:leader="none"/>
        </w:tabs>
        <w:spacing w:line="254" w:lineRule="auto" w:before="16" w:after="0"/>
        <w:ind w:left="1482" w:right="490" w:hanging="360"/>
        <w:jc w:val="left"/>
        <w:rPr>
          <w:rFonts w:ascii="Calibri" w:hAnsi="Calibri"/>
          <w:sz w:val="28"/>
        </w:rPr>
      </w:pPr>
      <w:r>
        <w:rPr>
          <w:rFonts w:ascii="Calibri" w:hAnsi="Calibri"/>
          <w:spacing w:val="-3"/>
          <w:sz w:val="28"/>
        </w:rPr>
        <w:t>Proyecto </w:t>
      </w:r>
      <w:r>
        <w:rPr>
          <w:rFonts w:ascii="Calibri" w:hAnsi="Calibri"/>
          <w:sz w:val="28"/>
        </w:rPr>
        <w:t>de Sombras por un importe de 40.000€, el dinero </w:t>
      </w:r>
      <w:r>
        <w:rPr>
          <w:rFonts w:ascii="Calibri" w:hAnsi="Calibri"/>
          <w:spacing w:val="-3"/>
          <w:sz w:val="28"/>
        </w:rPr>
        <w:t>está </w:t>
      </w:r>
      <w:r>
        <w:rPr>
          <w:rFonts w:ascii="Calibri" w:hAnsi="Calibri"/>
          <w:sz w:val="28"/>
        </w:rPr>
        <w:t>ingresado y </w:t>
      </w:r>
      <w:r>
        <w:rPr>
          <w:rFonts w:ascii="Calibri" w:hAnsi="Calibri"/>
          <w:spacing w:val="-3"/>
          <w:sz w:val="28"/>
        </w:rPr>
        <w:t>ya </w:t>
      </w:r>
      <w:r>
        <w:rPr>
          <w:rFonts w:ascii="Calibri" w:hAnsi="Calibri"/>
          <w:sz w:val="28"/>
        </w:rPr>
        <w:t>la obra</w:t>
      </w:r>
      <w:r>
        <w:rPr>
          <w:rFonts w:ascii="Calibri" w:hAnsi="Calibri"/>
          <w:spacing w:val="-5"/>
          <w:sz w:val="28"/>
        </w:rPr>
        <w:t> </w:t>
      </w:r>
      <w:r>
        <w:rPr>
          <w:rFonts w:ascii="Calibri" w:hAnsi="Calibri"/>
          <w:sz w:val="28"/>
        </w:rPr>
        <w:t>comenzó.</w:t>
      </w:r>
    </w:p>
    <w:p>
      <w:pPr>
        <w:spacing w:after="0" w:line="254" w:lineRule="auto"/>
        <w:jc w:val="left"/>
        <w:rPr>
          <w:rFonts w:ascii="Calibri" w:hAnsi="Calibri"/>
          <w:sz w:val="28"/>
        </w:rPr>
        <w:sectPr>
          <w:pgSz w:w="11910" w:h="16840"/>
          <w:pgMar w:header="1217" w:footer="0" w:top="2740" w:bottom="280" w:left="1300" w:right="1440"/>
        </w:sectPr>
      </w:pPr>
    </w:p>
    <w:p>
      <w:pPr>
        <w:pStyle w:val="BodyText"/>
        <w:rPr>
          <w:rFonts w:ascii="Calibri"/>
          <w:sz w:val="20"/>
        </w:rPr>
      </w:pPr>
    </w:p>
    <w:p>
      <w:pPr>
        <w:pStyle w:val="BodyText"/>
        <w:rPr>
          <w:rFonts w:ascii="Calibri"/>
          <w:sz w:val="17"/>
        </w:rPr>
      </w:pPr>
    </w:p>
    <w:p>
      <w:pPr>
        <w:spacing w:before="90"/>
        <w:ind w:left="402" w:right="0" w:firstLine="0"/>
        <w:jc w:val="left"/>
        <w:rPr>
          <w:b/>
          <w:sz w:val="24"/>
        </w:rPr>
      </w:pPr>
      <w:r>
        <w:rPr>
          <w:b/>
          <w:sz w:val="24"/>
          <w:u w:val="thick"/>
        </w:rPr>
        <w:t>CUARTA PARTE HACIENDA MUNICIPAL.</w:t>
      </w:r>
    </w:p>
    <w:p>
      <w:pPr>
        <w:pStyle w:val="BodyText"/>
        <w:rPr>
          <w:b/>
          <w:sz w:val="20"/>
        </w:rPr>
      </w:pPr>
    </w:p>
    <w:p>
      <w:pPr>
        <w:pStyle w:val="BodyText"/>
        <w:spacing w:before="8"/>
        <w:rPr>
          <w:b/>
          <w:sz w:val="27"/>
        </w:rPr>
      </w:pPr>
    </w:p>
    <w:p>
      <w:pPr>
        <w:spacing w:before="90"/>
        <w:ind w:left="402" w:right="0" w:firstLine="0"/>
        <w:jc w:val="left"/>
        <w:rPr>
          <w:b/>
          <w:sz w:val="24"/>
        </w:rPr>
      </w:pPr>
      <w:r>
        <w:rPr>
          <w:b/>
          <w:sz w:val="24"/>
        </w:rPr>
        <w:t>1.- LIQUIDACIÓN DEL PRESUPUESTO 2025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2"/>
        </w:rPr>
      </w:pPr>
      <w:r>
        <w:rPr/>
        <w:drawing>
          <wp:anchor distT="0" distB="0" distL="0" distR="0" allowOverlap="1" layoutInCell="1" locked="0" behindDoc="0" simplePos="0" relativeHeight="42">
            <wp:simplePos x="0" y="0"/>
            <wp:positionH relativeFrom="page">
              <wp:posOffset>1135339</wp:posOffset>
            </wp:positionH>
            <wp:positionV relativeFrom="paragraph">
              <wp:posOffset>114052</wp:posOffset>
            </wp:positionV>
            <wp:extent cx="5275848" cy="3729609"/>
            <wp:effectExtent l="0" t="0" r="0" b="0"/>
            <wp:wrapTopAndBottom/>
            <wp:docPr id="163" name="image82.jpeg"/>
            <wp:cNvGraphicFramePr>
              <a:graphicFrameLocks noChangeAspect="1"/>
            </wp:cNvGraphicFramePr>
            <a:graphic>
              <a:graphicData uri="http://schemas.openxmlformats.org/drawingml/2006/picture">
                <pic:pic>
                  <pic:nvPicPr>
                    <pic:cNvPr id="164" name="image82.jpeg"/>
                    <pic:cNvPicPr/>
                  </pic:nvPicPr>
                  <pic:blipFill>
                    <a:blip r:embed="rId88" cstate="print"/>
                    <a:stretch>
                      <a:fillRect/>
                    </a:stretch>
                  </pic:blipFill>
                  <pic:spPr>
                    <a:xfrm>
                      <a:off x="0" y="0"/>
                      <a:ext cx="5275848" cy="3729609"/>
                    </a:xfrm>
                    <a:prstGeom prst="rect">
                      <a:avLst/>
                    </a:prstGeom>
                  </pic:spPr>
                </pic:pic>
              </a:graphicData>
            </a:graphic>
          </wp:anchor>
        </w:drawing>
      </w:r>
    </w:p>
    <w:p>
      <w:pPr>
        <w:spacing w:after="0"/>
        <w:rPr>
          <w:sz w:val="12"/>
        </w:rPr>
        <w:sectPr>
          <w:pgSz w:w="11910" w:h="16840"/>
          <w:pgMar w:header="1217" w:footer="0" w:top="2740" w:bottom="280" w:left="1300" w:right="1440"/>
        </w:sectPr>
      </w:pPr>
    </w:p>
    <w:p>
      <w:pPr>
        <w:pStyle w:val="BodyText"/>
        <w:rPr>
          <w:b/>
          <w:sz w:val="20"/>
        </w:rPr>
      </w:pPr>
    </w:p>
    <w:p>
      <w:pPr>
        <w:pStyle w:val="BodyText"/>
        <w:spacing w:before="1"/>
        <w:rPr>
          <w:b/>
          <w:sz w:val="27"/>
        </w:rPr>
      </w:pPr>
    </w:p>
    <w:p>
      <w:pPr>
        <w:pStyle w:val="BodyText"/>
        <w:ind w:left="480"/>
        <w:rPr>
          <w:sz w:val="20"/>
        </w:rPr>
      </w:pPr>
      <w:r>
        <w:rPr>
          <w:sz w:val="20"/>
        </w:rPr>
        <w:drawing>
          <wp:inline distT="0" distB="0" distL="0" distR="0">
            <wp:extent cx="5281619" cy="4544377"/>
            <wp:effectExtent l="0" t="0" r="0" b="0"/>
            <wp:docPr id="165" name="image83.jpeg"/>
            <wp:cNvGraphicFramePr>
              <a:graphicFrameLocks noChangeAspect="1"/>
            </wp:cNvGraphicFramePr>
            <a:graphic>
              <a:graphicData uri="http://schemas.openxmlformats.org/drawingml/2006/picture">
                <pic:pic>
                  <pic:nvPicPr>
                    <pic:cNvPr id="166" name="image83.jpeg"/>
                    <pic:cNvPicPr/>
                  </pic:nvPicPr>
                  <pic:blipFill>
                    <a:blip r:embed="rId89" cstate="print"/>
                    <a:stretch>
                      <a:fillRect/>
                    </a:stretch>
                  </pic:blipFill>
                  <pic:spPr>
                    <a:xfrm>
                      <a:off x="0" y="0"/>
                      <a:ext cx="5281619" cy="4544377"/>
                    </a:xfrm>
                    <a:prstGeom prst="rect">
                      <a:avLst/>
                    </a:prstGeom>
                  </pic:spPr>
                </pic:pic>
              </a:graphicData>
            </a:graphic>
          </wp:inline>
        </w:drawing>
      </w:r>
      <w:r>
        <w:rPr>
          <w:sz w:val="20"/>
        </w:rPr>
      </w:r>
    </w:p>
    <w:p>
      <w:pPr>
        <w:spacing w:after="0"/>
        <w:rPr>
          <w:sz w:val="20"/>
        </w:rPr>
        <w:sectPr>
          <w:pgSz w:w="11910" w:h="16840"/>
          <w:pgMar w:header="1217" w:footer="0" w:top="2740" w:bottom="280" w:left="1300" w:right="1440"/>
        </w:sectPr>
      </w:pPr>
    </w:p>
    <w:p>
      <w:pPr>
        <w:pStyle w:val="BodyText"/>
        <w:rPr>
          <w:b/>
          <w:sz w:val="20"/>
        </w:rPr>
      </w:pPr>
    </w:p>
    <w:p>
      <w:pPr>
        <w:pStyle w:val="BodyText"/>
        <w:rPr>
          <w:b/>
          <w:sz w:val="20"/>
        </w:rPr>
      </w:pPr>
    </w:p>
    <w:p>
      <w:pPr>
        <w:pStyle w:val="BodyText"/>
        <w:spacing w:before="11"/>
        <w:rPr>
          <w:b/>
          <w:sz w:val="11"/>
        </w:rPr>
      </w:pPr>
    </w:p>
    <w:p>
      <w:pPr>
        <w:pStyle w:val="BodyText"/>
        <w:ind w:left="445"/>
        <w:rPr>
          <w:sz w:val="20"/>
        </w:rPr>
      </w:pPr>
      <w:r>
        <w:rPr>
          <w:sz w:val="20"/>
        </w:rPr>
        <w:drawing>
          <wp:inline distT="0" distB="0" distL="0" distR="0">
            <wp:extent cx="5350125" cy="3503104"/>
            <wp:effectExtent l="0" t="0" r="0" b="0"/>
            <wp:docPr id="167" name="image84.jpeg"/>
            <wp:cNvGraphicFramePr>
              <a:graphicFrameLocks noChangeAspect="1"/>
            </wp:cNvGraphicFramePr>
            <a:graphic>
              <a:graphicData uri="http://schemas.openxmlformats.org/drawingml/2006/picture">
                <pic:pic>
                  <pic:nvPicPr>
                    <pic:cNvPr id="168" name="image84.jpeg"/>
                    <pic:cNvPicPr/>
                  </pic:nvPicPr>
                  <pic:blipFill>
                    <a:blip r:embed="rId90" cstate="print"/>
                    <a:stretch>
                      <a:fillRect/>
                    </a:stretch>
                  </pic:blipFill>
                  <pic:spPr>
                    <a:xfrm>
                      <a:off x="0" y="0"/>
                      <a:ext cx="5350125" cy="3503104"/>
                    </a:xfrm>
                    <a:prstGeom prst="rect">
                      <a:avLst/>
                    </a:prstGeom>
                  </pic:spPr>
                </pic:pic>
              </a:graphicData>
            </a:graphic>
          </wp:inline>
        </w:drawing>
      </w:r>
      <w:r>
        <w:rPr>
          <w:sz w:val="20"/>
        </w:rPr>
      </w:r>
    </w:p>
    <w:p>
      <w:pPr>
        <w:pStyle w:val="BodyText"/>
        <w:spacing w:before="9"/>
        <w:rPr>
          <w:b/>
          <w:sz w:val="22"/>
        </w:rPr>
      </w:pPr>
      <w:r>
        <w:rPr/>
        <w:drawing>
          <wp:anchor distT="0" distB="0" distL="0" distR="0" allowOverlap="1" layoutInCell="1" locked="0" behindDoc="0" simplePos="0" relativeHeight="43">
            <wp:simplePos x="0" y="0"/>
            <wp:positionH relativeFrom="page">
              <wp:posOffset>1108296</wp:posOffset>
            </wp:positionH>
            <wp:positionV relativeFrom="paragraph">
              <wp:posOffset>191180</wp:posOffset>
            </wp:positionV>
            <wp:extent cx="5356204" cy="3481959"/>
            <wp:effectExtent l="0" t="0" r="0" b="0"/>
            <wp:wrapTopAndBottom/>
            <wp:docPr id="169" name="image85.jpeg"/>
            <wp:cNvGraphicFramePr>
              <a:graphicFrameLocks noChangeAspect="1"/>
            </wp:cNvGraphicFramePr>
            <a:graphic>
              <a:graphicData uri="http://schemas.openxmlformats.org/drawingml/2006/picture">
                <pic:pic>
                  <pic:nvPicPr>
                    <pic:cNvPr id="170" name="image85.jpeg"/>
                    <pic:cNvPicPr/>
                  </pic:nvPicPr>
                  <pic:blipFill>
                    <a:blip r:embed="rId91" cstate="print"/>
                    <a:stretch>
                      <a:fillRect/>
                    </a:stretch>
                  </pic:blipFill>
                  <pic:spPr>
                    <a:xfrm>
                      <a:off x="0" y="0"/>
                      <a:ext cx="5356204" cy="3481959"/>
                    </a:xfrm>
                    <a:prstGeom prst="rect">
                      <a:avLst/>
                    </a:prstGeom>
                  </pic:spPr>
                </pic:pic>
              </a:graphicData>
            </a:graphic>
          </wp:anchor>
        </w:drawing>
      </w:r>
    </w:p>
    <w:p>
      <w:pPr>
        <w:pStyle w:val="BodyText"/>
        <w:spacing w:before="149"/>
        <w:ind w:left="462"/>
      </w:pPr>
      <w:r>
        <w:rPr/>
        <w:t>Decreto número: ALC/2026/243 de fecha 30/01/2026</w:t>
      </w:r>
    </w:p>
    <w:p>
      <w:pPr>
        <w:spacing w:after="0"/>
        <w:sectPr>
          <w:pgSz w:w="11910" w:h="16840"/>
          <w:pgMar w:header="1217" w:footer="0" w:top="2740" w:bottom="280" w:left="1300" w:right="1440"/>
        </w:sect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4"/>
      </w:pPr>
      <w:r>
        <w:rPr/>
        <w:t>2.- INVENTARIO DE PATRIMONIO RESUMIDO EN LOS EPÍGRAFES.</w:t>
      </w:r>
    </w:p>
    <w:p>
      <w:pPr>
        <w:pStyle w:val="BodyText"/>
        <w:rPr>
          <w:b/>
          <w:sz w:val="26"/>
        </w:rPr>
      </w:pPr>
    </w:p>
    <w:p>
      <w:pPr>
        <w:spacing w:before="157"/>
        <w:ind w:left="402" w:right="0" w:firstLine="0"/>
        <w:jc w:val="left"/>
        <w:rPr>
          <w:b/>
          <w:i/>
          <w:sz w:val="32"/>
        </w:rPr>
      </w:pPr>
      <w:r>
        <w:rPr>
          <w:b/>
          <w:i/>
          <w:color w:val="6F2F9F"/>
          <w:sz w:val="32"/>
        </w:rPr>
        <w:t>Inventario de patrimonio resumido en los Epígrafes (Ejercicio </w:t>
      </w:r>
      <w:r>
        <w:rPr>
          <w:b/>
          <w:i/>
          <w:color w:val="6F2F9F"/>
          <w:sz w:val="32"/>
        </w:rPr>
        <w:t>2025)</w:t>
      </w:r>
    </w:p>
    <w:p>
      <w:pPr>
        <w:pStyle w:val="BodyText"/>
        <w:rPr>
          <w:b/>
          <w:i/>
          <w:sz w:val="34"/>
        </w:rPr>
      </w:pPr>
    </w:p>
    <w:p>
      <w:pPr>
        <w:pStyle w:val="ListParagraph"/>
        <w:numPr>
          <w:ilvl w:val="1"/>
          <w:numId w:val="14"/>
        </w:numPr>
        <w:tabs>
          <w:tab w:pos="1121" w:val="left" w:leader="none"/>
          <w:tab w:pos="1122" w:val="left" w:leader="none"/>
        </w:tabs>
        <w:spacing w:line="477" w:lineRule="auto" w:before="233" w:after="0"/>
        <w:ind w:left="402" w:right="2054" w:firstLine="359"/>
        <w:jc w:val="left"/>
        <w:rPr>
          <w:b/>
          <w:i/>
          <w:sz w:val="22"/>
        </w:rPr>
      </w:pPr>
      <w:r>
        <w:rPr>
          <w:b/>
          <w:i/>
          <w:sz w:val="22"/>
        </w:rPr>
        <w:t>EPÍGRAFE 1 BIENES INMUEBLES Artículo 20 INVENTARIO </w:t>
      </w:r>
      <w:r>
        <w:rPr>
          <w:b/>
          <w:i/>
          <w:sz w:val="22"/>
        </w:rPr>
        <w:t>Número de Inventario (desde la 11001 hasta la</w:t>
      </w:r>
      <w:r>
        <w:rPr>
          <w:b/>
          <w:i/>
          <w:spacing w:val="-8"/>
          <w:sz w:val="22"/>
        </w:rPr>
        <w:t> </w:t>
      </w:r>
      <w:r>
        <w:rPr>
          <w:b/>
          <w:i/>
          <w:sz w:val="22"/>
        </w:rPr>
        <w:t>132502)</w:t>
      </w:r>
    </w:p>
    <w:p>
      <w:pPr>
        <w:spacing w:before="1"/>
        <w:ind w:left="402" w:right="0" w:firstLine="0"/>
        <w:jc w:val="left"/>
        <w:rPr>
          <w:b/>
          <w:i/>
          <w:sz w:val="22"/>
        </w:rPr>
      </w:pPr>
      <w:r>
        <w:rPr>
          <w:b/>
          <w:i/>
          <w:sz w:val="22"/>
        </w:rPr>
        <w:t>TOTAL: 143.419.805,43 €</w:t>
      </w:r>
    </w:p>
    <w:p>
      <w:pPr>
        <w:pStyle w:val="BodyText"/>
        <w:rPr>
          <w:b/>
          <w:i/>
        </w:rPr>
      </w:pPr>
    </w:p>
    <w:p>
      <w:pPr>
        <w:pStyle w:val="BodyText"/>
        <w:spacing w:before="2"/>
        <w:rPr>
          <w:b/>
          <w:i/>
          <w:sz w:val="20"/>
        </w:rPr>
      </w:pPr>
    </w:p>
    <w:p>
      <w:pPr>
        <w:pStyle w:val="ListParagraph"/>
        <w:numPr>
          <w:ilvl w:val="1"/>
          <w:numId w:val="14"/>
        </w:numPr>
        <w:tabs>
          <w:tab w:pos="1121" w:val="left" w:leader="none"/>
          <w:tab w:pos="1122" w:val="left" w:leader="none"/>
        </w:tabs>
        <w:spacing w:line="463" w:lineRule="auto" w:before="1" w:after="0"/>
        <w:ind w:left="402" w:right="2112" w:firstLine="359"/>
        <w:jc w:val="left"/>
        <w:rPr>
          <w:b/>
          <w:i/>
          <w:sz w:val="22"/>
        </w:rPr>
      </w:pPr>
      <w:r>
        <w:rPr>
          <w:b/>
          <w:i/>
          <w:sz w:val="22"/>
        </w:rPr>
        <w:t>EPÍGRAFE 2 DERECHOS REALES Artículo 21 INVENTARIO </w:t>
      </w:r>
      <w:r>
        <w:rPr>
          <w:b/>
          <w:i/>
          <w:sz w:val="22"/>
        </w:rPr>
        <w:t>(NO</w:t>
      </w:r>
      <w:r>
        <w:rPr>
          <w:b/>
          <w:i/>
          <w:spacing w:val="-2"/>
          <w:sz w:val="22"/>
        </w:rPr>
        <w:t> </w:t>
      </w:r>
      <w:r>
        <w:rPr>
          <w:b/>
          <w:i/>
          <w:sz w:val="22"/>
        </w:rPr>
        <w:t>EXISTEN)</w:t>
      </w:r>
    </w:p>
    <w:p>
      <w:pPr>
        <w:pStyle w:val="BodyText"/>
        <w:spacing w:before="6"/>
        <w:rPr>
          <w:b/>
          <w:i/>
          <w:sz w:val="23"/>
        </w:rPr>
      </w:pPr>
    </w:p>
    <w:p>
      <w:pPr>
        <w:pStyle w:val="ListParagraph"/>
        <w:numPr>
          <w:ilvl w:val="1"/>
          <w:numId w:val="14"/>
        </w:numPr>
        <w:tabs>
          <w:tab w:pos="1177" w:val="left" w:leader="none"/>
          <w:tab w:pos="1178" w:val="left" w:leader="none"/>
        </w:tabs>
        <w:spacing w:line="240" w:lineRule="auto" w:before="0" w:after="0"/>
        <w:ind w:left="1121" w:right="1332" w:hanging="360"/>
        <w:jc w:val="left"/>
        <w:rPr>
          <w:b/>
          <w:i/>
          <w:sz w:val="22"/>
        </w:rPr>
      </w:pPr>
      <w:r>
        <w:rPr/>
        <w:tab/>
      </w:r>
      <w:r>
        <w:rPr>
          <w:b/>
          <w:i/>
          <w:sz w:val="22"/>
        </w:rPr>
        <w:t>EPÍGRAFE 3 HISTÓRICO-ARTÍSTICOS O CONSIDERABLE VALOR </w:t>
      </w:r>
      <w:r>
        <w:rPr>
          <w:b/>
          <w:i/>
          <w:sz w:val="22"/>
        </w:rPr>
        <w:t>ECONÓMICO Artículo 22</w:t>
      </w:r>
      <w:r>
        <w:rPr>
          <w:b/>
          <w:i/>
          <w:spacing w:val="-5"/>
          <w:sz w:val="22"/>
        </w:rPr>
        <w:t> </w:t>
      </w:r>
      <w:r>
        <w:rPr>
          <w:b/>
          <w:i/>
          <w:sz w:val="22"/>
        </w:rPr>
        <w:t>INVENTARIO</w:t>
      </w:r>
    </w:p>
    <w:p>
      <w:pPr>
        <w:pStyle w:val="BodyText"/>
        <w:spacing w:before="10"/>
        <w:rPr>
          <w:b/>
          <w:i/>
          <w:sz w:val="21"/>
        </w:rPr>
      </w:pPr>
    </w:p>
    <w:p>
      <w:pPr>
        <w:spacing w:before="0"/>
        <w:ind w:left="402" w:right="0" w:firstLine="0"/>
        <w:jc w:val="left"/>
        <w:rPr>
          <w:b/>
          <w:i/>
          <w:sz w:val="22"/>
        </w:rPr>
      </w:pPr>
      <w:r>
        <w:rPr>
          <w:b/>
          <w:i/>
          <w:sz w:val="22"/>
        </w:rPr>
        <w:t>Número de Inventario (desde la 1 hasta la 157) sin valoración económica</w:t>
      </w:r>
    </w:p>
    <w:p>
      <w:pPr>
        <w:pStyle w:val="BodyText"/>
        <w:rPr>
          <w:b/>
          <w:i/>
        </w:rPr>
      </w:pPr>
    </w:p>
    <w:p>
      <w:pPr>
        <w:pStyle w:val="BodyText"/>
        <w:rPr>
          <w:b/>
          <w:i/>
        </w:rPr>
      </w:pPr>
    </w:p>
    <w:p>
      <w:pPr>
        <w:pStyle w:val="ListParagraph"/>
        <w:numPr>
          <w:ilvl w:val="1"/>
          <w:numId w:val="14"/>
        </w:numPr>
        <w:tabs>
          <w:tab w:pos="1177" w:val="left" w:leader="none"/>
          <w:tab w:pos="1178" w:val="left" w:leader="none"/>
          <w:tab w:pos="2547" w:val="left" w:leader="none"/>
          <w:tab w:pos="2916" w:val="left" w:leader="none"/>
          <w:tab w:pos="4178" w:val="left" w:leader="none"/>
          <w:tab w:pos="5954" w:val="left" w:leader="none"/>
          <w:tab w:pos="7311" w:val="left" w:leader="none"/>
          <w:tab w:pos="7705" w:val="left" w:leader="none"/>
        </w:tabs>
        <w:spacing w:line="240" w:lineRule="auto" w:before="209" w:after="0"/>
        <w:ind w:left="1121" w:right="259" w:hanging="360"/>
        <w:jc w:val="left"/>
        <w:rPr>
          <w:b/>
          <w:i/>
          <w:sz w:val="22"/>
        </w:rPr>
      </w:pPr>
      <w:r>
        <w:rPr/>
        <w:tab/>
      </w:r>
      <w:r>
        <w:rPr>
          <w:b/>
          <w:i/>
          <w:sz w:val="22"/>
        </w:rPr>
        <w:t>EPÍGRAFE</w:t>
        <w:tab/>
        <w:t>4</w:t>
        <w:tab/>
        <w:t>VALORES</w:t>
        <w:tab/>
        <w:t>MOBILIARIOS,</w:t>
        <w:tab/>
        <w:t>CRÉDITOS</w:t>
        <w:tab/>
        <w:t>Y</w:t>
        <w:tab/>
      </w:r>
      <w:r>
        <w:rPr>
          <w:b/>
          <w:i/>
          <w:spacing w:val="-3"/>
          <w:sz w:val="22"/>
        </w:rPr>
        <w:t>DERECHOS </w:t>
      </w:r>
      <w:r>
        <w:rPr>
          <w:b/>
          <w:i/>
          <w:sz w:val="22"/>
        </w:rPr>
        <w:t>PERSONALES Artículos 23 y 24</w:t>
      </w:r>
      <w:r>
        <w:rPr>
          <w:b/>
          <w:i/>
          <w:spacing w:val="-5"/>
          <w:sz w:val="22"/>
        </w:rPr>
        <w:t> </w:t>
      </w:r>
      <w:r>
        <w:rPr>
          <w:b/>
          <w:i/>
          <w:sz w:val="22"/>
        </w:rPr>
        <w:t>INVENTARIO</w:t>
      </w:r>
    </w:p>
    <w:p>
      <w:pPr>
        <w:pStyle w:val="BodyText"/>
        <w:spacing w:before="8"/>
        <w:rPr>
          <w:b/>
          <w:i/>
          <w:sz w:val="21"/>
        </w:rPr>
      </w:pPr>
    </w:p>
    <w:p>
      <w:pPr>
        <w:spacing w:before="0"/>
        <w:ind w:left="1121" w:right="0" w:firstLine="0"/>
        <w:jc w:val="left"/>
        <w:rPr>
          <w:b/>
          <w:i/>
          <w:sz w:val="22"/>
        </w:rPr>
      </w:pPr>
      <w:r>
        <w:rPr>
          <w:b/>
          <w:i/>
          <w:sz w:val="22"/>
        </w:rPr>
        <w:t>(NO EXISTEN)</w:t>
      </w:r>
    </w:p>
    <w:p>
      <w:pPr>
        <w:pStyle w:val="BodyText"/>
        <w:rPr>
          <w:b/>
          <w:i/>
        </w:rPr>
      </w:pPr>
    </w:p>
    <w:p>
      <w:pPr>
        <w:pStyle w:val="BodyText"/>
        <w:spacing w:before="3"/>
        <w:rPr>
          <w:b/>
          <w:i/>
          <w:sz w:val="20"/>
        </w:rPr>
      </w:pPr>
    </w:p>
    <w:p>
      <w:pPr>
        <w:pStyle w:val="ListParagraph"/>
        <w:numPr>
          <w:ilvl w:val="1"/>
          <w:numId w:val="14"/>
        </w:numPr>
        <w:tabs>
          <w:tab w:pos="1121" w:val="left" w:leader="none"/>
          <w:tab w:pos="1122" w:val="left" w:leader="none"/>
        </w:tabs>
        <w:spacing w:line="463" w:lineRule="auto" w:before="0" w:after="0"/>
        <w:ind w:left="402" w:right="2937" w:firstLine="359"/>
        <w:jc w:val="left"/>
        <w:rPr>
          <w:b/>
          <w:i/>
          <w:sz w:val="22"/>
        </w:rPr>
      </w:pPr>
      <w:r>
        <w:rPr>
          <w:b/>
          <w:i/>
          <w:sz w:val="22"/>
        </w:rPr>
        <w:t>EPÍGRAFE 5 VEHICULOS Artículo 25 INVENTARIO </w:t>
      </w:r>
      <w:r>
        <w:rPr>
          <w:b/>
          <w:i/>
          <w:sz w:val="22"/>
        </w:rPr>
        <w:t>Número de Inventario (desde la 1 hasta la</w:t>
      </w:r>
      <w:r>
        <w:rPr>
          <w:b/>
          <w:i/>
          <w:spacing w:val="-7"/>
          <w:sz w:val="22"/>
        </w:rPr>
        <w:t> </w:t>
      </w:r>
      <w:r>
        <w:rPr>
          <w:b/>
          <w:i/>
          <w:sz w:val="22"/>
        </w:rPr>
        <w:t>65)</w:t>
      </w:r>
    </w:p>
    <w:p>
      <w:pPr>
        <w:spacing w:before="18"/>
        <w:ind w:left="402" w:right="0" w:firstLine="0"/>
        <w:jc w:val="left"/>
        <w:rPr>
          <w:b/>
          <w:i/>
          <w:sz w:val="22"/>
        </w:rPr>
      </w:pPr>
      <w:r>
        <w:rPr>
          <w:b/>
          <w:i/>
          <w:sz w:val="22"/>
        </w:rPr>
        <w:t>TOTAL: 939.920,01 €</w:t>
      </w:r>
    </w:p>
    <w:p>
      <w:pPr>
        <w:pStyle w:val="BodyText"/>
        <w:rPr>
          <w:b/>
          <w:i/>
        </w:rPr>
      </w:pPr>
    </w:p>
    <w:p>
      <w:pPr>
        <w:pStyle w:val="BodyText"/>
        <w:spacing w:before="1"/>
        <w:rPr>
          <w:b/>
          <w:i/>
          <w:sz w:val="20"/>
        </w:rPr>
      </w:pPr>
    </w:p>
    <w:p>
      <w:pPr>
        <w:pStyle w:val="ListParagraph"/>
        <w:numPr>
          <w:ilvl w:val="1"/>
          <w:numId w:val="14"/>
        </w:numPr>
        <w:tabs>
          <w:tab w:pos="1177" w:val="left" w:leader="none"/>
          <w:tab w:pos="1178" w:val="left" w:leader="none"/>
        </w:tabs>
        <w:spacing w:line="465" w:lineRule="auto" w:before="0" w:after="0"/>
        <w:ind w:left="1121" w:right="2589" w:hanging="360"/>
        <w:jc w:val="left"/>
        <w:rPr>
          <w:b/>
          <w:i/>
          <w:sz w:val="22"/>
        </w:rPr>
      </w:pPr>
      <w:r>
        <w:rPr/>
        <w:tab/>
      </w:r>
      <w:r>
        <w:rPr>
          <w:b/>
          <w:i/>
          <w:sz w:val="22"/>
        </w:rPr>
        <w:t>EPÍGRAFE 6 SEMOVIENTES Artículo 26 INVENTARIO </w:t>
      </w:r>
      <w:r>
        <w:rPr>
          <w:b/>
          <w:i/>
          <w:sz w:val="22"/>
        </w:rPr>
        <w:t>(NO</w:t>
      </w:r>
      <w:r>
        <w:rPr>
          <w:b/>
          <w:i/>
          <w:spacing w:val="-2"/>
          <w:sz w:val="22"/>
        </w:rPr>
        <w:t> </w:t>
      </w:r>
      <w:r>
        <w:rPr>
          <w:b/>
          <w:i/>
          <w:sz w:val="22"/>
        </w:rPr>
        <w:t>EXISTEN)</w:t>
      </w:r>
    </w:p>
    <w:p>
      <w:pPr>
        <w:spacing w:after="0" w:line="465" w:lineRule="auto"/>
        <w:jc w:val="left"/>
        <w:rPr>
          <w:sz w:val="22"/>
        </w:rPr>
        <w:sectPr>
          <w:pgSz w:w="11910" w:h="16840"/>
          <w:pgMar w:header="1217" w:footer="0" w:top="2740" w:bottom="280" w:left="1300" w:right="1440"/>
        </w:sectPr>
      </w:pPr>
    </w:p>
    <w:p>
      <w:pPr>
        <w:pStyle w:val="BodyText"/>
        <w:rPr>
          <w:b/>
          <w:i/>
          <w:sz w:val="20"/>
        </w:rPr>
      </w:pPr>
    </w:p>
    <w:p>
      <w:pPr>
        <w:pStyle w:val="BodyText"/>
        <w:spacing w:before="4"/>
        <w:rPr>
          <w:b/>
          <w:i/>
          <w:sz w:val="18"/>
        </w:rPr>
      </w:pPr>
    </w:p>
    <w:p>
      <w:pPr>
        <w:pStyle w:val="ListParagraph"/>
        <w:numPr>
          <w:ilvl w:val="1"/>
          <w:numId w:val="14"/>
        </w:numPr>
        <w:tabs>
          <w:tab w:pos="1121" w:val="left" w:leader="none"/>
          <w:tab w:pos="1122" w:val="left" w:leader="none"/>
        </w:tabs>
        <w:spacing w:line="472" w:lineRule="auto" w:before="101" w:after="0"/>
        <w:ind w:left="1121" w:right="3158" w:hanging="360"/>
        <w:jc w:val="left"/>
        <w:rPr>
          <w:rFonts w:ascii="Arial" w:hAnsi="Arial"/>
          <w:b/>
          <w:i/>
          <w:sz w:val="22"/>
        </w:rPr>
      </w:pPr>
      <w:r>
        <w:rPr>
          <w:b/>
          <w:i/>
          <w:sz w:val="22"/>
        </w:rPr>
        <w:t>EPÍGRAFE 7 MUEBLES Artículo 27 INVENTARIO </w:t>
      </w:r>
      <w:r>
        <w:rPr>
          <w:b/>
          <w:i/>
          <w:sz w:val="22"/>
        </w:rPr>
        <w:t>Número de Inventario (desde la 1 hasta la 65) TOTAL: </w:t>
      </w:r>
      <w:r>
        <w:rPr>
          <w:rFonts w:ascii="Arial" w:hAnsi="Arial"/>
          <w:b/>
          <w:i/>
          <w:sz w:val="22"/>
        </w:rPr>
        <w:t>150.177,92</w:t>
      </w:r>
      <w:r>
        <w:rPr>
          <w:rFonts w:ascii="Arial" w:hAnsi="Arial"/>
          <w:b/>
          <w:i/>
          <w:spacing w:val="-3"/>
          <w:sz w:val="22"/>
        </w:rPr>
        <w:t> </w:t>
      </w:r>
      <w:r>
        <w:rPr>
          <w:rFonts w:ascii="Arial" w:hAnsi="Arial"/>
          <w:b/>
          <w:i/>
          <w:sz w:val="22"/>
        </w:rPr>
        <w:t>€</w:t>
      </w:r>
    </w:p>
    <w:p>
      <w:pPr>
        <w:pStyle w:val="BodyText"/>
        <w:spacing w:before="6"/>
        <w:rPr>
          <w:rFonts w:ascii="Arial"/>
          <w:b/>
          <w:i/>
          <w:sz w:val="22"/>
        </w:rPr>
      </w:pPr>
    </w:p>
    <w:p>
      <w:pPr>
        <w:pStyle w:val="ListParagraph"/>
        <w:numPr>
          <w:ilvl w:val="1"/>
          <w:numId w:val="14"/>
        </w:numPr>
        <w:tabs>
          <w:tab w:pos="1177" w:val="left" w:leader="none"/>
          <w:tab w:pos="1178" w:val="left" w:leader="none"/>
        </w:tabs>
        <w:spacing w:line="463" w:lineRule="auto" w:before="0" w:after="0"/>
        <w:ind w:left="402" w:right="346" w:firstLine="359"/>
        <w:jc w:val="left"/>
        <w:rPr>
          <w:b/>
          <w:i/>
          <w:sz w:val="22"/>
        </w:rPr>
      </w:pPr>
      <w:r>
        <w:rPr>
          <w:b/>
          <w:i/>
          <w:sz w:val="22"/>
        </w:rPr>
        <w:t>EPÍGRAFE 8 BIENES Y DERECHOS REVERTIBLES Artículo 28 INVENTARIO </w:t>
      </w:r>
      <w:r>
        <w:rPr>
          <w:b/>
          <w:i/>
          <w:sz w:val="22"/>
        </w:rPr>
        <w:t>Número de Inventario (desde la 1 hasta la 18) sin valoración</w:t>
      </w:r>
      <w:r>
        <w:rPr>
          <w:b/>
          <w:i/>
          <w:spacing w:val="-13"/>
          <w:sz w:val="22"/>
        </w:rPr>
        <w:t> </w:t>
      </w:r>
      <w:r>
        <w:rPr>
          <w:b/>
          <w:i/>
          <w:sz w:val="22"/>
        </w:rPr>
        <w:t>económica</w:t>
      </w:r>
    </w:p>
    <w:p>
      <w:pPr>
        <w:pStyle w:val="BodyText"/>
        <w:rPr>
          <w:b/>
          <w:i/>
          <w:sz w:val="20"/>
        </w:rPr>
      </w:pPr>
    </w:p>
    <w:p>
      <w:pPr>
        <w:pStyle w:val="BodyText"/>
        <w:rPr>
          <w:b/>
          <w:i/>
          <w:sz w:val="20"/>
        </w:rPr>
      </w:pPr>
    </w:p>
    <w:p>
      <w:pPr>
        <w:pStyle w:val="BodyText"/>
        <w:rPr>
          <w:b/>
          <w:i/>
          <w:sz w:val="20"/>
        </w:rPr>
      </w:pPr>
    </w:p>
    <w:p>
      <w:pPr>
        <w:pStyle w:val="BodyText"/>
        <w:spacing w:before="8"/>
        <w:rPr>
          <w:b/>
          <w:i/>
          <w:sz w:val="11"/>
        </w:rPr>
      </w:pPr>
      <w:r>
        <w:rPr/>
        <w:pict>
          <v:shape style="position:absolute;margin-left:83.664001pt;margin-top:9.111636pt;width:428.15pt;height:.1pt;mso-position-horizontal-relative:page;mso-position-vertical-relative:paragraph;z-index:-251613184;mso-wrap-distance-left:0;mso-wrap-distance-right:0" coordorigin="1673,182" coordsize="8563,0" path="m1673,182l10235,182e" filled="false" stroked="true" strokeweight=".72pt" strokecolor="#000000">
            <v:path arrowok="t"/>
            <v:stroke dashstyle="solid"/>
            <w10:wrap type="topAndBottom"/>
          </v:shape>
        </w:pict>
      </w:r>
    </w:p>
    <w:p>
      <w:pPr>
        <w:pStyle w:val="BodyText"/>
        <w:rPr>
          <w:b/>
          <w:i/>
          <w:sz w:val="20"/>
        </w:rPr>
      </w:pPr>
    </w:p>
    <w:p>
      <w:pPr>
        <w:pStyle w:val="BodyText"/>
        <w:spacing w:before="1"/>
        <w:rPr>
          <w:b/>
          <w:i/>
          <w:sz w:val="23"/>
        </w:rPr>
      </w:pPr>
    </w:p>
    <w:p>
      <w:pPr>
        <w:pStyle w:val="Heading4"/>
      </w:pPr>
      <w:r>
        <w:rPr/>
        <w:t>MEMORIA DE LA GESTIÓN CORPORATIVA AÑO 2025</w:t>
      </w:r>
    </w:p>
    <w:p>
      <w:pPr>
        <w:pStyle w:val="BodyText"/>
        <w:spacing w:line="398" w:lineRule="auto" w:before="183"/>
        <w:ind w:left="402" w:right="6829"/>
      </w:pPr>
      <w:r>
        <w:rPr/>
        <w:t>En Tías (Lanzarote) El Secretario</w:t>
      </w:r>
    </w:p>
    <w:p>
      <w:pPr>
        <w:spacing w:before="157"/>
        <w:ind w:left="464" w:right="0" w:firstLine="0"/>
        <w:jc w:val="left"/>
        <w:rPr>
          <w:rFonts w:ascii="Gill Sans MT"/>
          <w:sz w:val="36"/>
        </w:rPr>
      </w:pPr>
      <w:r>
        <w:rPr>
          <w:rFonts w:ascii="Gill Sans MT"/>
          <w:w w:val="105"/>
          <w:sz w:val="36"/>
        </w:rPr>
        <w:t>2026.04.27 11:09:20</w:t>
      </w:r>
      <w:r>
        <w:rPr>
          <w:rFonts w:ascii="Gill Sans MT"/>
          <w:spacing w:val="-58"/>
          <w:w w:val="105"/>
          <w:sz w:val="36"/>
        </w:rPr>
        <w:t> </w:t>
      </w:r>
      <w:r>
        <w:rPr>
          <w:rFonts w:ascii="Gill Sans MT"/>
          <w:w w:val="105"/>
          <w:sz w:val="36"/>
        </w:rPr>
        <w:t>+01'00'</w:t>
      </w:r>
    </w:p>
    <w:sectPr>
      <w:pgSz w:w="11910" w:h="16840"/>
      <w:pgMar w:header="1217" w:footer="0" w:top="2740" w:bottom="280" w:left="130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Liberation Serif">
    <w:altName w:val="Liberation Serif"/>
    <w:charset w:val="0"/>
    <w:family w:val="roman"/>
    <w:pitch w:val="variable"/>
  </w:font>
  <w:font w:name="Tahoma">
    <w:altName w:val="Tahoma"/>
    <w:charset w:val="0"/>
    <w:family w:val="swiss"/>
    <w:pitch w:val="variable"/>
  </w:font>
  <w:font w:name="Gill Sans MT">
    <w:altName w:val="Gill Sans MT"/>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182784">
          <wp:simplePos x="0" y="0"/>
          <wp:positionH relativeFrom="page">
            <wp:posOffset>1531874</wp:posOffset>
          </wp:positionH>
          <wp:positionV relativeFrom="page">
            <wp:posOffset>772921</wp:posOffset>
          </wp:positionV>
          <wp:extent cx="504825" cy="79032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04825" cy="79032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84.103996pt;margin-top:125.019981pt;width:113.75pt;height:13.05pt;mso-position-horizontal-relative:page;mso-position-vertical-relative:page;z-index:-25513267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AYUNTAMIENTO DE TÍAS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122" w:hanging="360"/>
        <w:jc w:val="left"/>
      </w:pPr>
      <w:rPr>
        <w:rFonts w:hint="default" w:ascii="Arial" w:hAnsi="Arial" w:eastAsia="Arial" w:cs="Arial"/>
        <w:b/>
        <w:bCs/>
        <w:spacing w:val="-1"/>
        <w:w w:val="100"/>
        <w:sz w:val="22"/>
        <w:szCs w:val="22"/>
        <w:lang w:val="es-ES" w:eastAsia="es-ES" w:bidi="es-ES"/>
      </w:rPr>
    </w:lvl>
    <w:lvl w:ilvl="1">
      <w:start w:val="0"/>
      <w:numFmt w:val="bullet"/>
      <w:lvlText w:val="•"/>
      <w:lvlJc w:val="left"/>
      <w:pPr>
        <w:ind w:left="1924" w:hanging="360"/>
      </w:pPr>
      <w:rPr>
        <w:rFonts w:hint="default"/>
        <w:lang w:val="es-ES" w:eastAsia="es-ES" w:bidi="es-ES"/>
      </w:rPr>
    </w:lvl>
    <w:lvl w:ilvl="2">
      <w:start w:val="0"/>
      <w:numFmt w:val="bullet"/>
      <w:lvlText w:val="•"/>
      <w:lvlJc w:val="left"/>
      <w:pPr>
        <w:ind w:left="2729" w:hanging="360"/>
      </w:pPr>
      <w:rPr>
        <w:rFonts w:hint="default"/>
        <w:lang w:val="es-ES" w:eastAsia="es-ES" w:bidi="es-ES"/>
      </w:rPr>
    </w:lvl>
    <w:lvl w:ilvl="3">
      <w:start w:val="0"/>
      <w:numFmt w:val="bullet"/>
      <w:lvlText w:val="•"/>
      <w:lvlJc w:val="left"/>
      <w:pPr>
        <w:ind w:left="3533" w:hanging="360"/>
      </w:pPr>
      <w:rPr>
        <w:rFonts w:hint="default"/>
        <w:lang w:val="es-ES" w:eastAsia="es-ES" w:bidi="es-ES"/>
      </w:rPr>
    </w:lvl>
    <w:lvl w:ilvl="4">
      <w:start w:val="0"/>
      <w:numFmt w:val="bullet"/>
      <w:lvlText w:val="•"/>
      <w:lvlJc w:val="left"/>
      <w:pPr>
        <w:ind w:left="4338" w:hanging="360"/>
      </w:pPr>
      <w:rPr>
        <w:rFonts w:hint="default"/>
        <w:lang w:val="es-ES" w:eastAsia="es-ES" w:bidi="es-ES"/>
      </w:rPr>
    </w:lvl>
    <w:lvl w:ilvl="5">
      <w:start w:val="0"/>
      <w:numFmt w:val="bullet"/>
      <w:lvlText w:val="•"/>
      <w:lvlJc w:val="left"/>
      <w:pPr>
        <w:ind w:left="5143" w:hanging="360"/>
      </w:pPr>
      <w:rPr>
        <w:rFonts w:hint="default"/>
        <w:lang w:val="es-ES" w:eastAsia="es-ES" w:bidi="es-ES"/>
      </w:rPr>
    </w:lvl>
    <w:lvl w:ilvl="6">
      <w:start w:val="0"/>
      <w:numFmt w:val="bullet"/>
      <w:lvlText w:val="•"/>
      <w:lvlJc w:val="left"/>
      <w:pPr>
        <w:ind w:left="5947" w:hanging="360"/>
      </w:pPr>
      <w:rPr>
        <w:rFonts w:hint="default"/>
        <w:lang w:val="es-ES" w:eastAsia="es-ES" w:bidi="es-ES"/>
      </w:rPr>
    </w:lvl>
    <w:lvl w:ilvl="7">
      <w:start w:val="0"/>
      <w:numFmt w:val="bullet"/>
      <w:lvlText w:val="•"/>
      <w:lvlJc w:val="left"/>
      <w:pPr>
        <w:ind w:left="6752" w:hanging="360"/>
      </w:pPr>
      <w:rPr>
        <w:rFonts w:hint="default"/>
        <w:lang w:val="es-ES" w:eastAsia="es-ES" w:bidi="es-ES"/>
      </w:rPr>
    </w:lvl>
    <w:lvl w:ilvl="8">
      <w:start w:val="0"/>
      <w:numFmt w:val="bullet"/>
      <w:lvlText w:val="•"/>
      <w:lvlJc w:val="left"/>
      <w:pPr>
        <w:ind w:left="7557" w:hanging="360"/>
      </w:pPr>
      <w:rPr>
        <w:rFonts w:hint="default"/>
        <w:lang w:val="es-ES" w:eastAsia="es-ES" w:bidi="es-ES"/>
      </w:rPr>
    </w:lvl>
  </w:abstractNum>
  <w:abstractNum w:abstractNumId="13">
    <w:multiLevelType w:val="hybridMultilevel"/>
    <w:lvl w:ilvl="0">
      <w:start w:val="0"/>
      <w:numFmt w:val="bullet"/>
      <w:lvlText w:val="*"/>
      <w:lvlJc w:val="left"/>
      <w:pPr>
        <w:ind w:left="402" w:hanging="202"/>
      </w:pPr>
      <w:rPr>
        <w:rFonts w:hint="default" w:ascii="Calibri" w:hAnsi="Calibri" w:eastAsia="Calibri" w:cs="Calibri"/>
        <w:w w:val="100"/>
        <w:sz w:val="28"/>
        <w:szCs w:val="28"/>
        <w:lang w:val="es-ES" w:eastAsia="es-ES" w:bidi="es-ES"/>
      </w:rPr>
    </w:lvl>
    <w:lvl w:ilvl="1">
      <w:start w:val="0"/>
      <w:numFmt w:val="bullet"/>
      <w:lvlText w:val=""/>
      <w:lvlJc w:val="left"/>
      <w:pPr>
        <w:ind w:left="402" w:hanging="360"/>
      </w:pPr>
      <w:rPr>
        <w:rFonts w:hint="default" w:ascii="Symbol" w:hAnsi="Symbol" w:eastAsia="Symbol" w:cs="Symbol"/>
        <w:w w:val="100"/>
        <w:sz w:val="22"/>
        <w:szCs w:val="22"/>
        <w:lang w:val="es-ES" w:eastAsia="es-ES" w:bidi="es-ES"/>
      </w:rPr>
    </w:lvl>
    <w:lvl w:ilvl="2">
      <w:start w:val="0"/>
      <w:numFmt w:val="bullet"/>
      <w:lvlText w:val="•"/>
      <w:lvlJc w:val="left"/>
      <w:pPr>
        <w:ind w:left="2153" w:hanging="360"/>
      </w:pPr>
      <w:rPr>
        <w:rFonts w:hint="default"/>
        <w:lang w:val="es-ES" w:eastAsia="es-ES" w:bidi="es-ES"/>
      </w:rPr>
    </w:lvl>
    <w:lvl w:ilvl="3">
      <w:start w:val="0"/>
      <w:numFmt w:val="bullet"/>
      <w:lvlText w:val="•"/>
      <w:lvlJc w:val="left"/>
      <w:pPr>
        <w:ind w:left="3029" w:hanging="360"/>
      </w:pPr>
      <w:rPr>
        <w:rFonts w:hint="default"/>
        <w:lang w:val="es-ES" w:eastAsia="es-ES" w:bidi="es-ES"/>
      </w:rPr>
    </w:lvl>
    <w:lvl w:ilvl="4">
      <w:start w:val="0"/>
      <w:numFmt w:val="bullet"/>
      <w:lvlText w:val="•"/>
      <w:lvlJc w:val="left"/>
      <w:pPr>
        <w:ind w:left="3906" w:hanging="360"/>
      </w:pPr>
      <w:rPr>
        <w:rFonts w:hint="default"/>
        <w:lang w:val="es-ES" w:eastAsia="es-ES" w:bidi="es-ES"/>
      </w:rPr>
    </w:lvl>
    <w:lvl w:ilvl="5">
      <w:start w:val="0"/>
      <w:numFmt w:val="bullet"/>
      <w:lvlText w:val="•"/>
      <w:lvlJc w:val="left"/>
      <w:pPr>
        <w:ind w:left="4783" w:hanging="360"/>
      </w:pPr>
      <w:rPr>
        <w:rFonts w:hint="default"/>
        <w:lang w:val="es-ES" w:eastAsia="es-ES" w:bidi="es-ES"/>
      </w:rPr>
    </w:lvl>
    <w:lvl w:ilvl="6">
      <w:start w:val="0"/>
      <w:numFmt w:val="bullet"/>
      <w:lvlText w:val="•"/>
      <w:lvlJc w:val="left"/>
      <w:pPr>
        <w:ind w:left="5659" w:hanging="360"/>
      </w:pPr>
      <w:rPr>
        <w:rFonts w:hint="default"/>
        <w:lang w:val="es-ES" w:eastAsia="es-ES" w:bidi="es-ES"/>
      </w:rPr>
    </w:lvl>
    <w:lvl w:ilvl="7">
      <w:start w:val="0"/>
      <w:numFmt w:val="bullet"/>
      <w:lvlText w:val="•"/>
      <w:lvlJc w:val="left"/>
      <w:pPr>
        <w:ind w:left="6536" w:hanging="360"/>
      </w:pPr>
      <w:rPr>
        <w:rFonts w:hint="default"/>
        <w:lang w:val="es-ES" w:eastAsia="es-ES" w:bidi="es-ES"/>
      </w:rPr>
    </w:lvl>
    <w:lvl w:ilvl="8">
      <w:start w:val="0"/>
      <w:numFmt w:val="bullet"/>
      <w:lvlText w:val="•"/>
      <w:lvlJc w:val="left"/>
      <w:pPr>
        <w:ind w:left="7413" w:hanging="360"/>
      </w:pPr>
      <w:rPr>
        <w:rFonts w:hint="default"/>
        <w:lang w:val="es-ES" w:eastAsia="es-ES" w:bidi="es-ES"/>
      </w:rPr>
    </w:lvl>
  </w:abstractNum>
  <w:abstractNum w:abstractNumId="12">
    <w:multiLevelType w:val="hybridMultilevel"/>
    <w:lvl w:ilvl="0">
      <w:start w:val="0"/>
      <w:numFmt w:val="bullet"/>
      <w:lvlText w:val="·"/>
      <w:lvlJc w:val="left"/>
      <w:pPr>
        <w:ind w:left="402" w:hanging="135"/>
      </w:pPr>
      <w:rPr>
        <w:rFonts w:hint="default" w:ascii="Times New Roman" w:hAnsi="Times New Roman" w:eastAsia="Times New Roman" w:cs="Times New Roman"/>
        <w:w w:val="100"/>
        <w:sz w:val="24"/>
        <w:szCs w:val="24"/>
        <w:lang w:val="es-ES" w:eastAsia="es-ES" w:bidi="es-ES"/>
      </w:rPr>
    </w:lvl>
    <w:lvl w:ilvl="1">
      <w:start w:val="0"/>
      <w:numFmt w:val="bullet"/>
      <w:lvlText w:val="•"/>
      <w:lvlJc w:val="left"/>
      <w:pPr>
        <w:ind w:left="1276" w:hanging="135"/>
      </w:pPr>
      <w:rPr>
        <w:rFonts w:hint="default"/>
        <w:lang w:val="es-ES" w:eastAsia="es-ES" w:bidi="es-ES"/>
      </w:rPr>
    </w:lvl>
    <w:lvl w:ilvl="2">
      <w:start w:val="0"/>
      <w:numFmt w:val="bullet"/>
      <w:lvlText w:val="•"/>
      <w:lvlJc w:val="left"/>
      <w:pPr>
        <w:ind w:left="2153" w:hanging="135"/>
      </w:pPr>
      <w:rPr>
        <w:rFonts w:hint="default"/>
        <w:lang w:val="es-ES" w:eastAsia="es-ES" w:bidi="es-ES"/>
      </w:rPr>
    </w:lvl>
    <w:lvl w:ilvl="3">
      <w:start w:val="0"/>
      <w:numFmt w:val="bullet"/>
      <w:lvlText w:val="•"/>
      <w:lvlJc w:val="left"/>
      <w:pPr>
        <w:ind w:left="3029" w:hanging="135"/>
      </w:pPr>
      <w:rPr>
        <w:rFonts w:hint="default"/>
        <w:lang w:val="es-ES" w:eastAsia="es-ES" w:bidi="es-ES"/>
      </w:rPr>
    </w:lvl>
    <w:lvl w:ilvl="4">
      <w:start w:val="0"/>
      <w:numFmt w:val="bullet"/>
      <w:lvlText w:val="•"/>
      <w:lvlJc w:val="left"/>
      <w:pPr>
        <w:ind w:left="3906" w:hanging="135"/>
      </w:pPr>
      <w:rPr>
        <w:rFonts w:hint="default"/>
        <w:lang w:val="es-ES" w:eastAsia="es-ES" w:bidi="es-ES"/>
      </w:rPr>
    </w:lvl>
    <w:lvl w:ilvl="5">
      <w:start w:val="0"/>
      <w:numFmt w:val="bullet"/>
      <w:lvlText w:val="•"/>
      <w:lvlJc w:val="left"/>
      <w:pPr>
        <w:ind w:left="4783" w:hanging="135"/>
      </w:pPr>
      <w:rPr>
        <w:rFonts w:hint="default"/>
        <w:lang w:val="es-ES" w:eastAsia="es-ES" w:bidi="es-ES"/>
      </w:rPr>
    </w:lvl>
    <w:lvl w:ilvl="6">
      <w:start w:val="0"/>
      <w:numFmt w:val="bullet"/>
      <w:lvlText w:val="•"/>
      <w:lvlJc w:val="left"/>
      <w:pPr>
        <w:ind w:left="5659" w:hanging="135"/>
      </w:pPr>
      <w:rPr>
        <w:rFonts w:hint="default"/>
        <w:lang w:val="es-ES" w:eastAsia="es-ES" w:bidi="es-ES"/>
      </w:rPr>
    </w:lvl>
    <w:lvl w:ilvl="7">
      <w:start w:val="0"/>
      <w:numFmt w:val="bullet"/>
      <w:lvlText w:val="•"/>
      <w:lvlJc w:val="left"/>
      <w:pPr>
        <w:ind w:left="6536" w:hanging="135"/>
      </w:pPr>
      <w:rPr>
        <w:rFonts w:hint="default"/>
        <w:lang w:val="es-ES" w:eastAsia="es-ES" w:bidi="es-ES"/>
      </w:rPr>
    </w:lvl>
    <w:lvl w:ilvl="8">
      <w:start w:val="0"/>
      <w:numFmt w:val="bullet"/>
      <w:lvlText w:val="•"/>
      <w:lvlJc w:val="left"/>
      <w:pPr>
        <w:ind w:left="7413" w:hanging="135"/>
      </w:pPr>
      <w:rPr>
        <w:rFonts w:hint="default"/>
        <w:lang w:val="es-ES" w:eastAsia="es-ES" w:bidi="es-ES"/>
      </w:rPr>
    </w:lvl>
  </w:abstractNum>
  <w:abstractNum w:abstractNumId="11">
    <w:multiLevelType w:val="hybridMultilevel"/>
    <w:lvl w:ilvl="0">
      <w:start w:val="0"/>
      <w:numFmt w:val="bullet"/>
      <w:lvlText w:val="•"/>
      <w:lvlJc w:val="left"/>
      <w:pPr>
        <w:ind w:left="546" w:hanging="144"/>
      </w:pPr>
      <w:rPr>
        <w:rFonts w:hint="default" w:ascii="Times New Roman" w:hAnsi="Times New Roman" w:eastAsia="Times New Roman" w:cs="Times New Roman"/>
        <w:w w:val="100"/>
        <w:sz w:val="24"/>
        <w:szCs w:val="24"/>
        <w:lang w:val="es-ES" w:eastAsia="es-ES" w:bidi="es-ES"/>
      </w:rPr>
    </w:lvl>
    <w:lvl w:ilvl="1">
      <w:start w:val="0"/>
      <w:numFmt w:val="bullet"/>
      <w:lvlText w:val="•"/>
      <w:lvlJc w:val="left"/>
      <w:pPr>
        <w:ind w:left="1402" w:hanging="144"/>
      </w:pPr>
      <w:rPr>
        <w:rFonts w:hint="default"/>
        <w:lang w:val="es-ES" w:eastAsia="es-ES" w:bidi="es-ES"/>
      </w:rPr>
    </w:lvl>
    <w:lvl w:ilvl="2">
      <w:start w:val="0"/>
      <w:numFmt w:val="bullet"/>
      <w:lvlText w:val="•"/>
      <w:lvlJc w:val="left"/>
      <w:pPr>
        <w:ind w:left="2265" w:hanging="144"/>
      </w:pPr>
      <w:rPr>
        <w:rFonts w:hint="default"/>
        <w:lang w:val="es-ES" w:eastAsia="es-ES" w:bidi="es-ES"/>
      </w:rPr>
    </w:lvl>
    <w:lvl w:ilvl="3">
      <w:start w:val="0"/>
      <w:numFmt w:val="bullet"/>
      <w:lvlText w:val="•"/>
      <w:lvlJc w:val="left"/>
      <w:pPr>
        <w:ind w:left="3127" w:hanging="144"/>
      </w:pPr>
      <w:rPr>
        <w:rFonts w:hint="default"/>
        <w:lang w:val="es-ES" w:eastAsia="es-ES" w:bidi="es-ES"/>
      </w:rPr>
    </w:lvl>
    <w:lvl w:ilvl="4">
      <w:start w:val="0"/>
      <w:numFmt w:val="bullet"/>
      <w:lvlText w:val="•"/>
      <w:lvlJc w:val="left"/>
      <w:pPr>
        <w:ind w:left="3990" w:hanging="144"/>
      </w:pPr>
      <w:rPr>
        <w:rFonts w:hint="default"/>
        <w:lang w:val="es-ES" w:eastAsia="es-ES" w:bidi="es-ES"/>
      </w:rPr>
    </w:lvl>
    <w:lvl w:ilvl="5">
      <w:start w:val="0"/>
      <w:numFmt w:val="bullet"/>
      <w:lvlText w:val="•"/>
      <w:lvlJc w:val="left"/>
      <w:pPr>
        <w:ind w:left="4853" w:hanging="144"/>
      </w:pPr>
      <w:rPr>
        <w:rFonts w:hint="default"/>
        <w:lang w:val="es-ES" w:eastAsia="es-ES" w:bidi="es-ES"/>
      </w:rPr>
    </w:lvl>
    <w:lvl w:ilvl="6">
      <w:start w:val="0"/>
      <w:numFmt w:val="bullet"/>
      <w:lvlText w:val="•"/>
      <w:lvlJc w:val="left"/>
      <w:pPr>
        <w:ind w:left="5715" w:hanging="144"/>
      </w:pPr>
      <w:rPr>
        <w:rFonts w:hint="default"/>
        <w:lang w:val="es-ES" w:eastAsia="es-ES" w:bidi="es-ES"/>
      </w:rPr>
    </w:lvl>
    <w:lvl w:ilvl="7">
      <w:start w:val="0"/>
      <w:numFmt w:val="bullet"/>
      <w:lvlText w:val="•"/>
      <w:lvlJc w:val="left"/>
      <w:pPr>
        <w:ind w:left="6578" w:hanging="144"/>
      </w:pPr>
      <w:rPr>
        <w:rFonts w:hint="default"/>
        <w:lang w:val="es-ES" w:eastAsia="es-ES" w:bidi="es-ES"/>
      </w:rPr>
    </w:lvl>
    <w:lvl w:ilvl="8">
      <w:start w:val="0"/>
      <w:numFmt w:val="bullet"/>
      <w:lvlText w:val="•"/>
      <w:lvlJc w:val="left"/>
      <w:pPr>
        <w:ind w:left="7441" w:hanging="144"/>
      </w:pPr>
      <w:rPr>
        <w:rFonts w:hint="default"/>
        <w:lang w:val="es-ES" w:eastAsia="es-ES" w:bidi="es-ES"/>
      </w:rPr>
    </w:lvl>
  </w:abstractNum>
  <w:abstractNum w:abstractNumId="10">
    <w:multiLevelType w:val="hybridMultilevel"/>
    <w:lvl w:ilvl="0">
      <w:start w:val="1"/>
      <w:numFmt w:val="decimal"/>
      <w:lvlText w:val="%1."/>
      <w:lvlJc w:val="left"/>
      <w:pPr>
        <w:ind w:left="402" w:hanging="228"/>
        <w:jc w:val="left"/>
      </w:pPr>
      <w:rPr>
        <w:rFonts w:hint="default" w:ascii="Calibri" w:hAnsi="Calibri" w:eastAsia="Calibri" w:cs="Calibri"/>
        <w:w w:val="100"/>
        <w:sz w:val="23"/>
        <w:szCs w:val="23"/>
        <w:lang w:val="es-ES" w:eastAsia="es-ES" w:bidi="es-ES"/>
      </w:rPr>
    </w:lvl>
    <w:lvl w:ilvl="1">
      <w:start w:val="23"/>
      <w:numFmt w:val="decimal"/>
      <w:lvlText w:val="%2."/>
      <w:lvlJc w:val="left"/>
      <w:pPr>
        <w:ind w:left="1122" w:hanging="360"/>
        <w:jc w:val="left"/>
      </w:pPr>
      <w:rPr>
        <w:rFonts w:hint="default" w:ascii="Calibri" w:hAnsi="Calibri" w:eastAsia="Calibri" w:cs="Calibri"/>
        <w:i/>
        <w:spacing w:val="-1"/>
        <w:w w:val="100"/>
        <w:sz w:val="26"/>
        <w:szCs w:val="26"/>
        <w:lang w:val="es-ES" w:eastAsia="es-ES" w:bidi="es-ES"/>
      </w:rPr>
    </w:lvl>
    <w:lvl w:ilvl="2">
      <w:start w:val="0"/>
      <w:numFmt w:val="bullet"/>
      <w:lvlText w:val="-"/>
      <w:lvlJc w:val="left"/>
      <w:pPr>
        <w:ind w:left="1482" w:hanging="360"/>
      </w:pPr>
      <w:rPr>
        <w:rFonts w:hint="default" w:ascii="Calibri" w:hAnsi="Calibri" w:eastAsia="Calibri" w:cs="Calibri"/>
        <w:w w:val="100"/>
        <w:sz w:val="28"/>
        <w:szCs w:val="28"/>
        <w:lang w:val="es-ES" w:eastAsia="es-ES" w:bidi="es-ES"/>
      </w:rPr>
    </w:lvl>
    <w:lvl w:ilvl="3">
      <w:start w:val="0"/>
      <w:numFmt w:val="bullet"/>
      <w:lvlText w:val="•"/>
      <w:lvlJc w:val="left"/>
      <w:pPr>
        <w:ind w:left="2440" w:hanging="360"/>
      </w:pPr>
      <w:rPr>
        <w:rFonts w:hint="default"/>
        <w:lang w:val="es-ES" w:eastAsia="es-ES" w:bidi="es-ES"/>
      </w:rPr>
    </w:lvl>
    <w:lvl w:ilvl="4">
      <w:start w:val="0"/>
      <w:numFmt w:val="bullet"/>
      <w:lvlText w:val="•"/>
      <w:lvlJc w:val="left"/>
      <w:pPr>
        <w:ind w:left="3401" w:hanging="360"/>
      </w:pPr>
      <w:rPr>
        <w:rFonts w:hint="default"/>
        <w:lang w:val="es-ES" w:eastAsia="es-ES" w:bidi="es-ES"/>
      </w:rPr>
    </w:lvl>
    <w:lvl w:ilvl="5">
      <w:start w:val="0"/>
      <w:numFmt w:val="bullet"/>
      <w:lvlText w:val="•"/>
      <w:lvlJc w:val="left"/>
      <w:pPr>
        <w:ind w:left="4362" w:hanging="360"/>
      </w:pPr>
      <w:rPr>
        <w:rFonts w:hint="default"/>
        <w:lang w:val="es-ES" w:eastAsia="es-ES" w:bidi="es-ES"/>
      </w:rPr>
    </w:lvl>
    <w:lvl w:ilvl="6">
      <w:start w:val="0"/>
      <w:numFmt w:val="bullet"/>
      <w:lvlText w:val="•"/>
      <w:lvlJc w:val="left"/>
      <w:pPr>
        <w:ind w:left="5323" w:hanging="360"/>
      </w:pPr>
      <w:rPr>
        <w:rFonts w:hint="default"/>
        <w:lang w:val="es-ES" w:eastAsia="es-ES" w:bidi="es-ES"/>
      </w:rPr>
    </w:lvl>
    <w:lvl w:ilvl="7">
      <w:start w:val="0"/>
      <w:numFmt w:val="bullet"/>
      <w:lvlText w:val="•"/>
      <w:lvlJc w:val="left"/>
      <w:pPr>
        <w:ind w:left="6284" w:hanging="360"/>
      </w:pPr>
      <w:rPr>
        <w:rFonts w:hint="default"/>
        <w:lang w:val="es-ES" w:eastAsia="es-ES" w:bidi="es-ES"/>
      </w:rPr>
    </w:lvl>
    <w:lvl w:ilvl="8">
      <w:start w:val="0"/>
      <w:numFmt w:val="bullet"/>
      <w:lvlText w:val="•"/>
      <w:lvlJc w:val="left"/>
      <w:pPr>
        <w:ind w:left="7244" w:hanging="360"/>
      </w:pPr>
      <w:rPr>
        <w:rFonts w:hint="default"/>
        <w:lang w:val="es-ES" w:eastAsia="es-ES" w:bidi="es-ES"/>
      </w:rPr>
    </w:lvl>
  </w:abstractNum>
  <w:abstractNum w:abstractNumId="9">
    <w:multiLevelType w:val="hybridMultilevel"/>
    <w:lvl w:ilvl="0">
      <w:start w:val="0"/>
      <w:numFmt w:val="bullet"/>
      <w:lvlText w:val="•"/>
      <w:lvlJc w:val="left"/>
      <w:pPr>
        <w:ind w:left="402" w:hanging="708"/>
      </w:pPr>
      <w:rPr>
        <w:rFonts w:hint="default" w:ascii="Calibri" w:hAnsi="Calibri" w:eastAsia="Calibri" w:cs="Calibri"/>
        <w:w w:val="100"/>
        <w:sz w:val="23"/>
        <w:szCs w:val="23"/>
        <w:lang w:val="es-ES" w:eastAsia="es-ES" w:bidi="es-ES"/>
      </w:rPr>
    </w:lvl>
    <w:lvl w:ilvl="1">
      <w:start w:val="0"/>
      <w:numFmt w:val="bullet"/>
      <w:lvlText w:val="•"/>
      <w:lvlJc w:val="left"/>
      <w:pPr>
        <w:ind w:left="1276" w:hanging="708"/>
      </w:pPr>
      <w:rPr>
        <w:rFonts w:hint="default"/>
        <w:lang w:val="es-ES" w:eastAsia="es-ES" w:bidi="es-ES"/>
      </w:rPr>
    </w:lvl>
    <w:lvl w:ilvl="2">
      <w:start w:val="0"/>
      <w:numFmt w:val="bullet"/>
      <w:lvlText w:val="•"/>
      <w:lvlJc w:val="left"/>
      <w:pPr>
        <w:ind w:left="2153" w:hanging="708"/>
      </w:pPr>
      <w:rPr>
        <w:rFonts w:hint="default"/>
        <w:lang w:val="es-ES" w:eastAsia="es-ES" w:bidi="es-ES"/>
      </w:rPr>
    </w:lvl>
    <w:lvl w:ilvl="3">
      <w:start w:val="0"/>
      <w:numFmt w:val="bullet"/>
      <w:lvlText w:val="•"/>
      <w:lvlJc w:val="left"/>
      <w:pPr>
        <w:ind w:left="3029" w:hanging="708"/>
      </w:pPr>
      <w:rPr>
        <w:rFonts w:hint="default"/>
        <w:lang w:val="es-ES" w:eastAsia="es-ES" w:bidi="es-ES"/>
      </w:rPr>
    </w:lvl>
    <w:lvl w:ilvl="4">
      <w:start w:val="0"/>
      <w:numFmt w:val="bullet"/>
      <w:lvlText w:val="•"/>
      <w:lvlJc w:val="left"/>
      <w:pPr>
        <w:ind w:left="3906" w:hanging="708"/>
      </w:pPr>
      <w:rPr>
        <w:rFonts w:hint="default"/>
        <w:lang w:val="es-ES" w:eastAsia="es-ES" w:bidi="es-ES"/>
      </w:rPr>
    </w:lvl>
    <w:lvl w:ilvl="5">
      <w:start w:val="0"/>
      <w:numFmt w:val="bullet"/>
      <w:lvlText w:val="•"/>
      <w:lvlJc w:val="left"/>
      <w:pPr>
        <w:ind w:left="4783" w:hanging="708"/>
      </w:pPr>
      <w:rPr>
        <w:rFonts w:hint="default"/>
        <w:lang w:val="es-ES" w:eastAsia="es-ES" w:bidi="es-ES"/>
      </w:rPr>
    </w:lvl>
    <w:lvl w:ilvl="6">
      <w:start w:val="0"/>
      <w:numFmt w:val="bullet"/>
      <w:lvlText w:val="•"/>
      <w:lvlJc w:val="left"/>
      <w:pPr>
        <w:ind w:left="5659" w:hanging="708"/>
      </w:pPr>
      <w:rPr>
        <w:rFonts w:hint="default"/>
        <w:lang w:val="es-ES" w:eastAsia="es-ES" w:bidi="es-ES"/>
      </w:rPr>
    </w:lvl>
    <w:lvl w:ilvl="7">
      <w:start w:val="0"/>
      <w:numFmt w:val="bullet"/>
      <w:lvlText w:val="•"/>
      <w:lvlJc w:val="left"/>
      <w:pPr>
        <w:ind w:left="6536" w:hanging="708"/>
      </w:pPr>
      <w:rPr>
        <w:rFonts w:hint="default"/>
        <w:lang w:val="es-ES" w:eastAsia="es-ES" w:bidi="es-ES"/>
      </w:rPr>
    </w:lvl>
    <w:lvl w:ilvl="8">
      <w:start w:val="0"/>
      <w:numFmt w:val="bullet"/>
      <w:lvlText w:val="•"/>
      <w:lvlJc w:val="left"/>
      <w:pPr>
        <w:ind w:left="7413" w:hanging="708"/>
      </w:pPr>
      <w:rPr>
        <w:rFonts w:hint="default"/>
        <w:lang w:val="es-ES" w:eastAsia="es-ES" w:bidi="es-ES"/>
      </w:rPr>
    </w:lvl>
  </w:abstractNum>
  <w:abstractNum w:abstractNumId="8">
    <w:multiLevelType w:val="hybridMultilevel"/>
    <w:lvl w:ilvl="0">
      <w:start w:val="1"/>
      <w:numFmt w:val="decimal"/>
      <w:lvlText w:val="%1."/>
      <w:lvlJc w:val="left"/>
      <w:pPr>
        <w:ind w:left="1122" w:hanging="360"/>
        <w:jc w:val="left"/>
      </w:pPr>
      <w:rPr>
        <w:rFonts w:hint="default" w:ascii="Arial" w:hAnsi="Arial" w:eastAsia="Arial" w:cs="Arial"/>
        <w:i/>
        <w:spacing w:val="-23"/>
        <w:w w:val="100"/>
        <w:sz w:val="24"/>
        <w:szCs w:val="24"/>
        <w:lang w:val="es-ES" w:eastAsia="es-ES" w:bidi="es-ES"/>
      </w:rPr>
    </w:lvl>
    <w:lvl w:ilvl="1">
      <w:start w:val="0"/>
      <w:numFmt w:val="bullet"/>
      <w:lvlText w:val="•"/>
      <w:lvlJc w:val="left"/>
      <w:pPr>
        <w:ind w:left="1924" w:hanging="360"/>
      </w:pPr>
      <w:rPr>
        <w:rFonts w:hint="default"/>
        <w:lang w:val="es-ES" w:eastAsia="es-ES" w:bidi="es-ES"/>
      </w:rPr>
    </w:lvl>
    <w:lvl w:ilvl="2">
      <w:start w:val="0"/>
      <w:numFmt w:val="bullet"/>
      <w:lvlText w:val="•"/>
      <w:lvlJc w:val="left"/>
      <w:pPr>
        <w:ind w:left="2729" w:hanging="360"/>
      </w:pPr>
      <w:rPr>
        <w:rFonts w:hint="default"/>
        <w:lang w:val="es-ES" w:eastAsia="es-ES" w:bidi="es-ES"/>
      </w:rPr>
    </w:lvl>
    <w:lvl w:ilvl="3">
      <w:start w:val="0"/>
      <w:numFmt w:val="bullet"/>
      <w:lvlText w:val="•"/>
      <w:lvlJc w:val="left"/>
      <w:pPr>
        <w:ind w:left="3533" w:hanging="360"/>
      </w:pPr>
      <w:rPr>
        <w:rFonts w:hint="default"/>
        <w:lang w:val="es-ES" w:eastAsia="es-ES" w:bidi="es-ES"/>
      </w:rPr>
    </w:lvl>
    <w:lvl w:ilvl="4">
      <w:start w:val="0"/>
      <w:numFmt w:val="bullet"/>
      <w:lvlText w:val="•"/>
      <w:lvlJc w:val="left"/>
      <w:pPr>
        <w:ind w:left="4338" w:hanging="360"/>
      </w:pPr>
      <w:rPr>
        <w:rFonts w:hint="default"/>
        <w:lang w:val="es-ES" w:eastAsia="es-ES" w:bidi="es-ES"/>
      </w:rPr>
    </w:lvl>
    <w:lvl w:ilvl="5">
      <w:start w:val="0"/>
      <w:numFmt w:val="bullet"/>
      <w:lvlText w:val="•"/>
      <w:lvlJc w:val="left"/>
      <w:pPr>
        <w:ind w:left="5143" w:hanging="360"/>
      </w:pPr>
      <w:rPr>
        <w:rFonts w:hint="default"/>
        <w:lang w:val="es-ES" w:eastAsia="es-ES" w:bidi="es-ES"/>
      </w:rPr>
    </w:lvl>
    <w:lvl w:ilvl="6">
      <w:start w:val="0"/>
      <w:numFmt w:val="bullet"/>
      <w:lvlText w:val="•"/>
      <w:lvlJc w:val="left"/>
      <w:pPr>
        <w:ind w:left="5947" w:hanging="360"/>
      </w:pPr>
      <w:rPr>
        <w:rFonts w:hint="default"/>
        <w:lang w:val="es-ES" w:eastAsia="es-ES" w:bidi="es-ES"/>
      </w:rPr>
    </w:lvl>
    <w:lvl w:ilvl="7">
      <w:start w:val="0"/>
      <w:numFmt w:val="bullet"/>
      <w:lvlText w:val="•"/>
      <w:lvlJc w:val="left"/>
      <w:pPr>
        <w:ind w:left="6752" w:hanging="360"/>
      </w:pPr>
      <w:rPr>
        <w:rFonts w:hint="default"/>
        <w:lang w:val="es-ES" w:eastAsia="es-ES" w:bidi="es-ES"/>
      </w:rPr>
    </w:lvl>
    <w:lvl w:ilvl="8">
      <w:start w:val="0"/>
      <w:numFmt w:val="bullet"/>
      <w:lvlText w:val="•"/>
      <w:lvlJc w:val="left"/>
      <w:pPr>
        <w:ind w:left="7557" w:hanging="360"/>
      </w:pPr>
      <w:rPr>
        <w:rFonts w:hint="default"/>
        <w:lang w:val="es-ES" w:eastAsia="es-ES" w:bidi="es-ES"/>
      </w:rPr>
    </w:lvl>
  </w:abstractNum>
  <w:abstractNum w:abstractNumId="7">
    <w:multiLevelType w:val="hybridMultilevel"/>
    <w:lvl w:ilvl="0">
      <w:start w:val="0"/>
      <w:numFmt w:val="bullet"/>
      <w:lvlText w:val="*"/>
      <w:lvlJc w:val="left"/>
      <w:pPr>
        <w:ind w:left="402" w:hanging="202"/>
      </w:pPr>
      <w:rPr>
        <w:rFonts w:hint="default" w:ascii="Arial" w:hAnsi="Arial" w:eastAsia="Arial" w:cs="Arial"/>
        <w:spacing w:val="-26"/>
        <w:w w:val="100"/>
        <w:sz w:val="24"/>
        <w:szCs w:val="24"/>
        <w:lang w:val="es-ES" w:eastAsia="es-ES" w:bidi="es-ES"/>
      </w:rPr>
    </w:lvl>
    <w:lvl w:ilvl="1">
      <w:start w:val="0"/>
      <w:numFmt w:val="bullet"/>
      <w:lvlText w:val="•"/>
      <w:lvlJc w:val="left"/>
      <w:pPr>
        <w:ind w:left="1276" w:hanging="202"/>
      </w:pPr>
      <w:rPr>
        <w:rFonts w:hint="default"/>
        <w:lang w:val="es-ES" w:eastAsia="es-ES" w:bidi="es-ES"/>
      </w:rPr>
    </w:lvl>
    <w:lvl w:ilvl="2">
      <w:start w:val="0"/>
      <w:numFmt w:val="bullet"/>
      <w:lvlText w:val="•"/>
      <w:lvlJc w:val="left"/>
      <w:pPr>
        <w:ind w:left="2153" w:hanging="202"/>
      </w:pPr>
      <w:rPr>
        <w:rFonts w:hint="default"/>
        <w:lang w:val="es-ES" w:eastAsia="es-ES" w:bidi="es-ES"/>
      </w:rPr>
    </w:lvl>
    <w:lvl w:ilvl="3">
      <w:start w:val="0"/>
      <w:numFmt w:val="bullet"/>
      <w:lvlText w:val="•"/>
      <w:lvlJc w:val="left"/>
      <w:pPr>
        <w:ind w:left="3029" w:hanging="202"/>
      </w:pPr>
      <w:rPr>
        <w:rFonts w:hint="default"/>
        <w:lang w:val="es-ES" w:eastAsia="es-ES" w:bidi="es-ES"/>
      </w:rPr>
    </w:lvl>
    <w:lvl w:ilvl="4">
      <w:start w:val="0"/>
      <w:numFmt w:val="bullet"/>
      <w:lvlText w:val="•"/>
      <w:lvlJc w:val="left"/>
      <w:pPr>
        <w:ind w:left="3906" w:hanging="202"/>
      </w:pPr>
      <w:rPr>
        <w:rFonts w:hint="default"/>
        <w:lang w:val="es-ES" w:eastAsia="es-ES" w:bidi="es-ES"/>
      </w:rPr>
    </w:lvl>
    <w:lvl w:ilvl="5">
      <w:start w:val="0"/>
      <w:numFmt w:val="bullet"/>
      <w:lvlText w:val="•"/>
      <w:lvlJc w:val="left"/>
      <w:pPr>
        <w:ind w:left="4783" w:hanging="202"/>
      </w:pPr>
      <w:rPr>
        <w:rFonts w:hint="default"/>
        <w:lang w:val="es-ES" w:eastAsia="es-ES" w:bidi="es-ES"/>
      </w:rPr>
    </w:lvl>
    <w:lvl w:ilvl="6">
      <w:start w:val="0"/>
      <w:numFmt w:val="bullet"/>
      <w:lvlText w:val="•"/>
      <w:lvlJc w:val="left"/>
      <w:pPr>
        <w:ind w:left="5659" w:hanging="202"/>
      </w:pPr>
      <w:rPr>
        <w:rFonts w:hint="default"/>
        <w:lang w:val="es-ES" w:eastAsia="es-ES" w:bidi="es-ES"/>
      </w:rPr>
    </w:lvl>
    <w:lvl w:ilvl="7">
      <w:start w:val="0"/>
      <w:numFmt w:val="bullet"/>
      <w:lvlText w:val="•"/>
      <w:lvlJc w:val="left"/>
      <w:pPr>
        <w:ind w:left="6536" w:hanging="202"/>
      </w:pPr>
      <w:rPr>
        <w:rFonts w:hint="default"/>
        <w:lang w:val="es-ES" w:eastAsia="es-ES" w:bidi="es-ES"/>
      </w:rPr>
    </w:lvl>
    <w:lvl w:ilvl="8">
      <w:start w:val="0"/>
      <w:numFmt w:val="bullet"/>
      <w:lvlText w:val="•"/>
      <w:lvlJc w:val="left"/>
      <w:pPr>
        <w:ind w:left="7413" w:hanging="202"/>
      </w:pPr>
      <w:rPr>
        <w:rFonts w:hint="default"/>
        <w:lang w:val="es-ES" w:eastAsia="es-ES" w:bidi="es-ES"/>
      </w:rPr>
    </w:lvl>
  </w:abstractNum>
  <w:abstractNum w:abstractNumId="6">
    <w:multiLevelType w:val="hybridMultilevel"/>
    <w:lvl w:ilvl="0">
      <w:start w:val="0"/>
      <w:numFmt w:val="bullet"/>
      <w:lvlText w:val="·"/>
      <w:lvlJc w:val="left"/>
      <w:pPr>
        <w:ind w:left="402" w:hanging="231"/>
      </w:pPr>
      <w:rPr>
        <w:rFonts w:hint="default" w:ascii="Arial" w:hAnsi="Arial" w:eastAsia="Arial" w:cs="Arial"/>
        <w:spacing w:val="-4"/>
        <w:w w:val="100"/>
        <w:sz w:val="24"/>
        <w:szCs w:val="24"/>
        <w:lang w:val="es-ES" w:eastAsia="es-ES" w:bidi="es-ES"/>
      </w:rPr>
    </w:lvl>
    <w:lvl w:ilvl="1">
      <w:start w:val="0"/>
      <w:numFmt w:val="bullet"/>
      <w:lvlText w:val="•"/>
      <w:lvlJc w:val="left"/>
      <w:pPr>
        <w:ind w:left="1120" w:hanging="231"/>
      </w:pPr>
      <w:rPr>
        <w:rFonts w:hint="default"/>
        <w:lang w:val="es-ES" w:eastAsia="es-ES" w:bidi="es-ES"/>
      </w:rPr>
    </w:lvl>
    <w:lvl w:ilvl="2">
      <w:start w:val="0"/>
      <w:numFmt w:val="bullet"/>
      <w:lvlText w:val="•"/>
      <w:lvlJc w:val="left"/>
      <w:pPr>
        <w:ind w:left="2014" w:hanging="231"/>
      </w:pPr>
      <w:rPr>
        <w:rFonts w:hint="default"/>
        <w:lang w:val="es-ES" w:eastAsia="es-ES" w:bidi="es-ES"/>
      </w:rPr>
    </w:lvl>
    <w:lvl w:ilvl="3">
      <w:start w:val="0"/>
      <w:numFmt w:val="bullet"/>
      <w:lvlText w:val="•"/>
      <w:lvlJc w:val="left"/>
      <w:pPr>
        <w:ind w:left="2908" w:hanging="231"/>
      </w:pPr>
      <w:rPr>
        <w:rFonts w:hint="default"/>
        <w:lang w:val="es-ES" w:eastAsia="es-ES" w:bidi="es-ES"/>
      </w:rPr>
    </w:lvl>
    <w:lvl w:ilvl="4">
      <w:start w:val="0"/>
      <w:numFmt w:val="bullet"/>
      <w:lvlText w:val="•"/>
      <w:lvlJc w:val="left"/>
      <w:pPr>
        <w:ind w:left="3802" w:hanging="231"/>
      </w:pPr>
      <w:rPr>
        <w:rFonts w:hint="default"/>
        <w:lang w:val="es-ES" w:eastAsia="es-ES" w:bidi="es-ES"/>
      </w:rPr>
    </w:lvl>
    <w:lvl w:ilvl="5">
      <w:start w:val="0"/>
      <w:numFmt w:val="bullet"/>
      <w:lvlText w:val="•"/>
      <w:lvlJc w:val="left"/>
      <w:pPr>
        <w:ind w:left="4696" w:hanging="231"/>
      </w:pPr>
      <w:rPr>
        <w:rFonts w:hint="default"/>
        <w:lang w:val="es-ES" w:eastAsia="es-ES" w:bidi="es-ES"/>
      </w:rPr>
    </w:lvl>
    <w:lvl w:ilvl="6">
      <w:start w:val="0"/>
      <w:numFmt w:val="bullet"/>
      <w:lvlText w:val="•"/>
      <w:lvlJc w:val="left"/>
      <w:pPr>
        <w:ind w:left="5590" w:hanging="231"/>
      </w:pPr>
      <w:rPr>
        <w:rFonts w:hint="default"/>
        <w:lang w:val="es-ES" w:eastAsia="es-ES" w:bidi="es-ES"/>
      </w:rPr>
    </w:lvl>
    <w:lvl w:ilvl="7">
      <w:start w:val="0"/>
      <w:numFmt w:val="bullet"/>
      <w:lvlText w:val="•"/>
      <w:lvlJc w:val="left"/>
      <w:pPr>
        <w:ind w:left="6484" w:hanging="231"/>
      </w:pPr>
      <w:rPr>
        <w:rFonts w:hint="default"/>
        <w:lang w:val="es-ES" w:eastAsia="es-ES" w:bidi="es-ES"/>
      </w:rPr>
    </w:lvl>
    <w:lvl w:ilvl="8">
      <w:start w:val="0"/>
      <w:numFmt w:val="bullet"/>
      <w:lvlText w:val="•"/>
      <w:lvlJc w:val="left"/>
      <w:pPr>
        <w:ind w:left="7378" w:hanging="231"/>
      </w:pPr>
      <w:rPr>
        <w:rFonts w:hint="default"/>
        <w:lang w:val="es-ES" w:eastAsia="es-ES" w:bidi="es-ES"/>
      </w:rPr>
    </w:lvl>
  </w:abstractNum>
  <w:abstractNum w:abstractNumId="5">
    <w:multiLevelType w:val="hybridMultilevel"/>
    <w:lvl w:ilvl="0">
      <w:start w:val="0"/>
      <w:numFmt w:val="bullet"/>
      <w:lvlText w:val="-"/>
      <w:lvlJc w:val="left"/>
      <w:pPr>
        <w:ind w:left="1122" w:hanging="360"/>
      </w:pPr>
      <w:rPr>
        <w:rFonts w:hint="default" w:ascii="Calibri" w:hAnsi="Calibri" w:eastAsia="Calibri" w:cs="Calibri"/>
        <w:w w:val="99"/>
        <w:sz w:val="20"/>
        <w:szCs w:val="20"/>
        <w:lang w:val="es-ES" w:eastAsia="es-ES" w:bidi="es-ES"/>
      </w:rPr>
    </w:lvl>
    <w:lvl w:ilvl="1">
      <w:start w:val="0"/>
      <w:numFmt w:val="bullet"/>
      <w:lvlText w:val="•"/>
      <w:lvlJc w:val="left"/>
      <w:pPr>
        <w:ind w:left="1924" w:hanging="360"/>
      </w:pPr>
      <w:rPr>
        <w:rFonts w:hint="default"/>
        <w:lang w:val="es-ES" w:eastAsia="es-ES" w:bidi="es-ES"/>
      </w:rPr>
    </w:lvl>
    <w:lvl w:ilvl="2">
      <w:start w:val="0"/>
      <w:numFmt w:val="bullet"/>
      <w:lvlText w:val="•"/>
      <w:lvlJc w:val="left"/>
      <w:pPr>
        <w:ind w:left="2729" w:hanging="360"/>
      </w:pPr>
      <w:rPr>
        <w:rFonts w:hint="default"/>
        <w:lang w:val="es-ES" w:eastAsia="es-ES" w:bidi="es-ES"/>
      </w:rPr>
    </w:lvl>
    <w:lvl w:ilvl="3">
      <w:start w:val="0"/>
      <w:numFmt w:val="bullet"/>
      <w:lvlText w:val="•"/>
      <w:lvlJc w:val="left"/>
      <w:pPr>
        <w:ind w:left="3533" w:hanging="360"/>
      </w:pPr>
      <w:rPr>
        <w:rFonts w:hint="default"/>
        <w:lang w:val="es-ES" w:eastAsia="es-ES" w:bidi="es-ES"/>
      </w:rPr>
    </w:lvl>
    <w:lvl w:ilvl="4">
      <w:start w:val="0"/>
      <w:numFmt w:val="bullet"/>
      <w:lvlText w:val="•"/>
      <w:lvlJc w:val="left"/>
      <w:pPr>
        <w:ind w:left="4338" w:hanging="360"/>
      </w:pPr>
      <w:rPr>
        <w:rFonts w:hint="default"/>
        <w:lang w:val="es-ES" w:eastAsia="es-ES" w:bidi="es-ES"/>
      </w:rPr>
    </w:lvl>
    <w:lvl w:ilvl="5">
      <w:start w:val="0"/>
      <w:numFmt w:val="bullet"/>
      <w:lvlText w:val="•"/>
      <w:lvlJc w:val="left"/>
      <w:pPr>
        <w:ind w:left="5143" w:hanging="360"/>
      </w:pPr>
      <w:rPr>
        <w:rFonts w:hint="default"/>
        <w:lang w:val="es-ES" w:eastAsia="es-ES" w:bidi="es-ES"/>
      </w:rPr>
    </w:lvl>
    <w:lvl w:ilvl="6">
      <w:start w:val="0"/>
      <w:numFmt w:val="bullet"/>
      <w:lvlText w:val="•"/>
      <w:lvlJc w:val="left"/>
      <w:pPr>
        <w:ind w:left="5947" w:hanging="360"/>
      </w:pPr>
      <w:rPr>
        <w:rFonts w:hint="default"/>
        <w:lang w:val="es-ES" w:eastAsia="es-ES" w:bidi="es-ES"/>
      </w:rPr>
    </w:lvl>
    <w:lvl w:ilvl="7">
      <w:start w:val="0"/>
      <w:numFmt w:val="bullet"/>
      <w:lvlText w:val="•"/>
      <w:lvlJc w:val="left"/>
      <w:pPr>
        <w:ind w:left="6752" w:hanging="360"/>
      </w:pPr>
      <w:rPr>
        <w:rFonts w:hint="default"/>
        <w:lang w:val="es-ES" w:eastAsia="es-ES" w:bidi="es-ES"/>
      </w:rPr>
    </w:lvl>
    <w:lvl w:ilvl="8">
      <w:start w:val="0"/>
      <w:numFmt w:val="bullet"/>
      <w:lvlText w:val="•"/>
      <w:lvlJc w:val="left"/>
      <w:pPr>
        <w:ind w:left="7557" w:hanging="360"/>
      </w:pPr>
      <w:rPr>
        <w:rFonts w:hint="default"/>
        <w:lang w:val="es-ES" w:eastAsia="es-ES" w:bidi="es-ES"/>
      </w:rPr>
    </w:lvl>
  </w:abstractNum>
  <w:abstractNum w:abstractNumId="4">
    <w:multiLevelType w:val="hybridMultilevel"/>
    <w:lvl w:ilvl="0">
      <w:start w:val="3"/>
      <w:numFmt w:val="decimal"/>
      <w:lvlText w:val="%1-"/>
      <w:lvlJc w:val="left"/>
      <w:pPr>
        <w:ind w:left="661" w:hanging="260"/>
        <w:jc w:val="left"/>
      </w:pPr>
      <w:rPr>
        <w:rFonts w:hint="default" w:ascii="Times New Roman" w:hAnsi="Times New Roman" w:eastAsia="Times New Roman" w:cs="Times New Roman"/>
        <w:b/>
        <w:bCs/>
        <w:w w:val="100"/>
        <w:sz w:val="24"/>
        <w:szCs w:val="24"/>
        <w:lang w:val="es-ES" w:eastAsia="es-ES" w:bidi="es-ES"/>
      </w:rPr>
    </w:lvl>
    <w:lvl w:ilvl="1">
      <w:start w:val="0"/>
      <w:numFmt w:val="bullet"/>
      <w:lvlText w:val=""/>
      <w:lvlJc w:val="left"/>
      <w:pPr>
        <w:ind w:left="1122" w:hanging="360"/>
      </w:pPr>
      <w:rPr>
        <w:rFonts w:hint="default" w:ascii="Symbol" w:hAnsi="Symbol" w:eastAsia="Symbol" w:cs="Symbol"/>
        <w:w w:val="100"/>
        <w:sz w:val="22"/>
        <w:szCs w:val="22"/>
        <w:lang w:val="es-ES" w:eastAsia="es-ES" w:bidi="es-ES"/>
      </w:rPr>
    </w:lvl>
    <w:lvl w:ilvl="2">
      <w:start w:val="0"/>
      <w:numFmt w:val="bullet"/>
      <w:lvlText w:val="•"/>
      <w:lvlJc w:val="left"/>
      <w:pPr>
        <w:ind w:left="2014" w:hanging="360"/>
      </w:pPr>
      <w:rPr>
        <w:rFonts w:hint="default"/>
        <w:lang w:val="es-ES" w:eastAsia="es-ES" w:bidi="es-ES"/>
      </w:rPr>
    </w:lvl>
    <w:lvl w:ilvl="3">
      <w:start w:val="0"/>
      <w:numFmt w:val="bullet"/>
      <w:lvlText w:val="•"/>
      <w:lvlJc w:val="left"/>
      <w:pPr>
        <w:ind w:left="2908" w:hanging="360"/>
      </w:pPr>
      <w:rPr>
        <w:rFonts w:hint="default"/>
        <w:lang w:val="es-ES" w:eastAsia="es-ES" w:bidi="es-ES"/>
      </w:rPr>
    </w:lvl>
    <w:lvl w:ilvl="4">
      <w:start w:val="0"/>
      <w:numFmt w:val="bullet"/>
      <w:lvlText w:val="•"/>
      <w:lvlJc w:val="left"/>
      <w:pPr>
        <w:ind w:left="3802" w:hanging="360"/>
      </w:pPr>
      <w:rPr>
        <w:rFonts w:hint="default"/>
        <w:lang w:val="es-ES" w:eastAsia="es-ES" w:bidi="es-ES"/>
      </w:rPr>
    </w:lvl>
    <w:lvl w:ilvl="5">
      <w:start w:val="0"/>
      <w:numFmt w:val="bullet"/>
      <w:lvlText w:val="•"/>
      <w:lvlJc w:val="left"/>
      <w:pPr>
        <w:ind w:left="4696" w:hanging="360"/>
      </w:pPr>
      <w:rPr>
        <w:rFonts w:hint="default"/>
        <w:lang w:val="es-ES" w:eastAsia="es-ES" w:bidi="es-ES"/>
      </w:rPr>
    </w:lvl>
    <w:lvl w:ilvl="6">
      <w:start w:val="0"/>
      <w:numFmt w:val="bullet"/>
      <w:lvlText w:val="•"/>
      <w:lvlJc w:val="left"/>
      <w:pPr>
        <w:ind w:left="5590" w:hanging="360"/>
      </w:pPr>
      <w:rPr>
        <w:rFonts w:hint="default"/>
        <w:lang w:val="es-ES" w:eastAsia="es-ES" w:bidi="es-ES"/>
      </w:rPr>
    </w:lvl>
    <w:lvl w:ilvl="7">
      <w:start w:val="0"/>
      <w:numFmt w:val="bullet"/>
      <w:lvlText w:val="•"/>
      <w:lvlJc w:val="left"/>
      <w:pPr>
        <w:ind w:left="6484" w:hanging="360"/>
      </w:pPr>
      <w:rPr>
        <w:rFonts w:hint="default"/>
        <w:lang w:val="es-ES" w:eastAsia="es-ES" w:bidi="es-ES"/>
      </w:rPr>
    </w:lvl>
    <w:lvl w:ilvl="8">
      <w:start w:val="0"/>
      <w:numFmt w:val="bullet"/>
      <w:lvlText w:val="•"/>
      <w:lvlJc w:val="left"/>
      <w:pPr>
        <w:ind w:left="7378" w:hanging="360"/>
      </w:pPr>
      <w:rPr>
        <w:rFonts w:hint="default"/>
        <w:lang w:val="es-ES" w:eastAsia="es-ES" w:bidi="es-ES"/>
      </w:rPr>
    </w:lvl>
  </w:abstractNum>
  <w:abstractNum w:abstractNumId="3">
    <w:multiLevelType w:val="hybridMultilevel"/>
    <w:lvl w:ilvl="0">
      <w:start w:val="0"/>
      <w:numFmt w:val="bullet"/>
      <w:lvlText w:val="-"/>
      <w:lvlJc w:val="left"/>
      <w:pPr>
        <w:ind w:left="1122" w:hanging="360"/>
      </w:pPr>
      <w:rPr>
        <w:rFonts w:hint="default" w:ascii="Arial" w:hAnsi="Arial" w:eastAsia="Arial" w:cs="Arial"/>
        <w:w w:val="100"/>
        <w:sz w:val="22"/>
        <w:szCs w:val="22"/>
        <w:lang w:val="es-ES" w:eastAsia="es-ES" w:bidi="es-ES"/>
      </w:rPr>
    </w:lvl>
    <w:lvl w:ilvl="1">
      <w:start w:val="0"/>
      <w:numFmt w:val="bullet"/>
      <w:lvlText w:val="•"/>
      <w:lvlJc w:val="left"/>
      <w:pPr>
        <w:ind w:left="1924" w:hanging="360"/>
      </w:pPr>
      <w:rPr>
        <w:rFonts w:hint="default"/>
        <w:lang w:val="es-ES" w:eastAsia="es-ES" w:bidi="es-ES"/>
      </w:rPr>
    </w:lvl>
    <w:lvl w:ilvl="2">
      <w:start w:val="0"/>
      <w:numFmt w:val="bullet"/>
      <w:lvlText w:val="•"/>
      <w:lvlJc w:val="left"/>
      <w:pPr>
        <w:ind w:left="2729" w:hanging="360"/>
      </w:pPr>
      <w:rPr>
        <w:rFonts w:hint="default"/>
        <w:lang w:val="es-ES" w:eastAsia="es-ES" w:bidi="es-ES"/>
      </w:rPr>
    </w:lvl>
    <w:lvl w:ilvl="3">
      <w:start w:val="0"/>
      <w:numFmt w:val="bullet"/>
      <w:lvlText w:val="•"/>
      <w:lvlJc w:val="left"/>
      <w:pPr>
        <w:ind w:left="3533" w:hanging="360"/>
      </w:pPr>
      <w:rPr>
        <w:rFonts w:hint="default"/>
        <w:lang w:val="es-ES" w:eastAsia="es-ES" w:bidi="es-ES"/>
      </w:rPr>
    </w:lvl>
    <w:lvl w:ilvl="4">
      <w:start w:val="0"/>
      <w:numFmt w:val="bullet"/>
      <w:lvlText w:val="•"/>
      <w:lvlJc w:val="left"/>
      <w:pPr>
        <w:ind w:left="4338" w:hanging="360"/>
      </w:pPr>
      <w:rPr>
        <w:rFonts w:hint="default"/>
        <w:lang w:val="es-ES" w:eastAsia="es-ES" w:bidi="es-ES"/>
      </w:rPr>
    </w:lvl>
    <w:lvl w:ilvl="5">
      <w:start w:val="0"/>
      <w:numFmt w:val="bullet"/>
      <w:lvlText w:val="•"/>
      <w:lvlJc w:val="left"/>
      <w:pPr>
        <w:ind w:left="5143" w:hanging="360"/>
      </w:pPr>
      <w:rPr>
        <w:rFonts w:hint="default"/>
        <w:lang w:val="es-ES" w:eastAsia="es-ES" w:bidi="es-ES"/>
      </w:rPr>
    </w:lvl>
    <w:lvl w:ilvl="6">
      <w:start w:val="0"/>
      <w:numFmt w:val="bullet"/>
      <w:lvlText w:val="•"/>
      <w:lvlJc w:val="left"/>
      <w:pPr>
        <w:ind w:left="5947" w:hanging="360"/>
      </w:pPr>
      <w:rPr>
        <w:rFonts w:hint="default"/>
        <w:lang w:val="es-ES" w:eastAsia="es-ES" w:bidi="es-ES"/>
      </w:rPr>
    </w:lvl>
    <w:lvl w:ilvl="7">
      <w:start w:val="0"/>
      <w:numFmt w:val="bullet"/>
      <w:lvlText w:val="•"/>
      <w:lvlJc w:val="left"/>
      <w:pPr>
        <w:ind w:left="6752" w:hanging="360"/>
      </w:pPr>
      <w:rPr>
        <w:rFonts w:hint="default"/>
        <w:lang w:val="es-ES" w:eastAsia="es-ES" w:bidi="es-ES"/>
      </w:rPr>
    </w:lvl>
    <w:lvl w:ilvl="8">
      <w:start w:val="0"/>
      <w:numFmt w:val="bullet"/>
      <w:lvlText w:val="•"/>
      <w:lvlJc w:val="left"/>
      <w:pPr>
        <w:ind w:left="7557" w:hanging="360"/>
      </w:pPr>
      <w:rPr>
        <w:rFonts w:hint="default"/>
        <w:lang w:val="es-ES" w:eastAsia="es-ES" w:bidi="es-ES"/>
      </w:rPr>
    </w:lvl>
  </w:abstractNum>
  <w:abstractNum w:abstractNumId="1">
    <w:multiLevelType w:val="hybridMultilevel"/>
    <w:lvl w:ilvl="0">
      <w:start w:val="1"/>
      <w:numFmt w:val="decimal"/>
      <w:lvlText w:val="%1."/>
      <w:lvlJc w:val="left"/>
      <w:pPr>
        <w:ind w:left="402" w:hanging="267"/>
        <w:jc w:val="left"/>
      </w:pPr>
      <w:rPr>
        <w:rFonts w:hint="default" w:ascii="Times New Roman" w:hAnsi="Times New Roman" w:eastAsia="Times New Roman" w:cs="Times New Roman"/>
        <w:w w:val="100"/>
        <w:sz w:val="24"/>
        <w:szCs w:val="24"/>
        <w:lang w:val="es-ES" w:eastAsia="es-ES" w:bidi="es-ES"/>
      </w:rPr>
    </w:lvl>
    <w:lvl w:ilvl="1">
      <w:start w:val="0"/>
      <w:numFmt w:val="bullet"/>
      <w:lvlText w:val="•"/>
      <w:lvlJc w:val="left"/>
      <w:pPr>
        <w:ind w:left="1276" w:hanging="267"/>
      </w:pPr>
      <w:rPr>
        <w:rFonts w:hint="default"/>
        <w:lang w:val="es-ES" w:eastAsia="es-ES" w:bidi="es-ES"/>
      </w:rPr>
    </w:lvl>
    <w:lvl w:ilvl="2">
      <w:start w:val="0"/>
      <w:numFmt w:val="bullet"/>
      <w:lvlText w:val="•"/>
      <w:lvlJc w:val="left"/>
      <w:pPr>
        <w:ind w:left="2153" w:hanging="267"/>
      </w:pPr>
      <w:rPr>
        <w:rFonts w:hint="default"/>
        <w:lang w:val="es-ES" w:eastAsia="es-ES" w:bidi="es-ES"/>
      </w:rPr>
    </w:lvl>
    <w:lvl w:ilvl="3">
      <w:start w:val="0"/>
      <w:numFmt w:val="bullet"/>
      <w:lvlText w:val="•"/>
      <w:lvlJc w:val="left"/>
      <w:pPr>
        <w:ind w:left="3029" w:hanging="267"/>
      </w:pPr>
      <w:rPr>
        <w:rFonts w:hint="default"/>
        <w:lang w:val="es-ES" w:eastAsia="es-ES" w:bidi="es-ES"/>
      </w:rPr>
    </w:lvl>
    <w:lvl w:ilvl="4">
      <w:start w:val="0"/>
      <w:numFmt w:val="bullet"/>
      <w:lvlText w:val="•"/>
      <w:lvlJc w:val="left"/>
      <w:pPr>
        <w:ind w:left="3906" w:hanging="267"/>
      </w:pPr>
      <w:rPr>
        <w:rFonts w:hint="default"/>
        <w:lang w:val="es-ES" w:eastAsia="es-ES" w:bidi="es-ES"/>
      </w:rPr>
    </w:lvl>
    <w:lvl w:ilvl="5">
      <w:start w:val="0"/>
      <w:numFmt w:val="bullet"/>
      <w:lvlText w:val="•"/>
      <w:lvlJc w:val="left"/>
      <w:pPr>
        <w:ind w:left="4783" w:hanging="267"/>
      </w:pPr>
      <w:rPr>
        <w:rFonts w:hint="default"/>
        <w:lang w:val="es-ES" w:eastAsia="es-ES" w:bidi="es-ES"/>
      </w:rPr>
    </w:lvl>
    <w:lvl w:ilvl="6">
      <w:start w:val="0"/>
      <w:numFmt w:val="bullet"/>
      <w:lvlText w:val="•"/>
      <w:lvlJc w:val="left"/>
      <w:pPr>
        <w:ind w:left="5659" w:hanging="267"/>
      </w:pPr>
      <w:rPr>
        <w:rFonts w:hint="default"/>
        <w:lang w:val="es-ES" w:eastAsia="es-ES" w:bidi="es-ES"/>
      </w:rPr>
    </w:lvl>
    <w:lvl w:ilvl="7">
      <w:start w:val="0"/>
      <w:numFmt w:val="bullet"/>
      <w:lvlText w:val="•"/>
      <w:lvlJc w:val="left"/>
      <w:pPr>
        <w:ind w:left="6536" w:hanging="267"/>
      </w:pPr>
      <w:rPr>
        <w:rFonts w:hint="default"/>
        <w:lang w:val="es-ES" w:eastAsia="es-ES" w:bidi="es-ES"/>
      </w:rPr>
    </w:lvl>
    <w:lvl w:ilvl="8">
      <w:start w:val="0"/>
      <w:numFmt w:val="bullet"/>
      <w:lvlText w:val="•"/>
      <w:lvlJc w:val="left"/>
      <w:pPr>
        <w:ind w:left="7413" w:hanging="267"/>
      </w:pPr>
      <w:rPr>
        <w:rFonts w:hint="default"/>
        <w:lang w:val="es-ES" w:eastAsia="es-ES" w:bidi="es-ES"/>
      </w:rPr>
    </w:lvl>
  </w:abstractNum>
  <w:abstractNum w:abstractNumId="0">
    <w:multiLevelType w:val="hybridMultilevel"/>
    <w:lvl w:ilvl="0">
      <w:start w:val="0"/>
      <w:numFmt w:val="bullet"/>
      <w:lvlText w:val="-"/>
      <w:lvlJc w:val="left"/>
      <w:pPr>
        <w:ind w:left="402" w:hanging="161"/>
      </w:pPr>
      <w:rPr>
        <w:rFonts w:hint="default" w:ascii="Times New Roman" w:hAnsi="Times New Roman" w:eastAsia="Times New Roman" w:cs="Times New Roman"/>
        <w:w w:val="100"/>
        <w:sz w:val="24"/>
        <w:szCs w:val="24"/>
        <w:lang w:val="es-ES" w:eastAsia="es-ES" w:bidi="es-ES"/>
      </w:rPr>
    </w:lvl>
    <w:lvl w:ilvl="1">
      <w:start w:val="0"/>
      <w:numFmt w:val="bullet"/>
      <w:lvlText w:val="•"/>
      <w:lvlJc w:val="left"/>
      <w:pPr>
        <w:ind w:left="1276" w:hanging="161"/>
      </w:pPr>
      <w:rPr>
        <w:rFonts w:hint="default"/>
        <w:lang w:val="es-ES" w:eastAsia="es-ES" w:bidi="es-ES"/>
      </w:rPr>
    </w:lvl>
    <w:lvl w:ilvl="2">
      <w:start w:val="0"/>
      <w:numFmt w:val="bullet"/>
      <w:lvlText w:val="•"/>
      <w:lvlJc w:val="left"/>
      <w:pPr>
        <w:ind w:left="2153" w:hanging="161"/>
      </w:pPr>
      <w:rPr>
        <w:rFonts w:hint="default"/>
        <w:lang w:val="es-ES" w:eastAsia="es-ES" w:bidi="es-ES"/>
      </w:rPr>
    </w:lvl>
    <w:lvl w:ilvl="3">
      <w:start w:val="0"/>
      <w:numFmt w:val="bullet"/>
      <w:lvlText w:val="•"/>
      <w:lvlJc w:val="left"/>
      <w:pPr>
        <w:ind w:left="3029" w:hanging="161"/>
      </w:pPr>
      <w:rPr>
        <w:rFonts w:hint="default"/>
        <w:lang w:val="es-ES" w:eastAsia="es-ES" w:bidi="es-ES"/>
      </w:rPr>
    </w:lvl>
    <w:lvl w:ilvl="4">
      <w:start w:val="0"/>
      <w:numFmt w:val="bullet"/>
      <w:lvlText w:val="•"/>
      <w:lvlJc w:val="left"/>
      <w:pPr>
        <w:ind w:left="3906" w:hanging="161"/>
      </w:pPr>
      <w:rPr>
        <w:rFonts w:hint="default"/>
        <w:lang w:val="es-ES" w:eastAsia="es-ES" w:bidi="es-ES"/>
      </w:rPr>
    </w:lvl>
    <w:lvl w:ilvl="5">
      <w:start w:val="0"/>
      <w:numFmt w:val="bullet"/>
      <w:lvlText w:val="•"/>
      <w:lvlJc w:val="left"/>
      <w:pPr>
        <w:ind w:left="4783" w:hanging="161"/>
      </w:pPr>
      <w:rPr>
        <w:rFonts w:hint="default"/>
        <w:lang w:val="es-ES" w:eastAsia="es-ES" w:bidi="es-ES"/>
      </w:rPr>
    </w:lvl>
    <w:lvl w:ilvl="6">
      <w:start w:val="0"/>
      <w:numFmt w:val="bullet"/>
      <w:lvlText w:val="•"/>
      <w:lvlJc w:val="left"/>
      <w:pPr>
        <w:ind w:left="5659" w:hanging="161"/>
      </w:pPr>
      <w:rPr>
        <w:rFonts w:hint="default"/>
        <w:lang w:val="es-ES" w:eastAsia="es-ES" w:bidi="es-ES"/>
      </w:rPr>
    </w:lvl>
    <w:lvl w:ilvl="7">
      <w:start w:val="0"/>
      <w:numFmt w:val="bullet"/>
      <w:lvlText w:val="•"/>
      <w:lvlJc w:val="left"/>
      <w:pPr>
        <w:ind w:left="6536" w:hanging="161"/>
      </w:pPr>
      <w:rPr>
        <w:rFonts w:hint="default"/>
        <w:lang w:val="es-ES" w:eastAsia="es-ES" w:bidi="es-ES"/>
      </w:rPr>
    </w:lvl>
    <w:lvl w:ilvl="8">
      <w:start w:val="0"/>
      <w:numFmt w:val="bullet"/>
      <w:lvlText w:val="•"/>
      <w:lvlJc w:val="left"/>
      <w:pPr>
        <w:ind w:left="7413" w:hanging="161"/>
      </w:pPr>
      <w:rPr>
        <w:rFonts w:hint="default"/>
        <w:lang w:val="es-ES" w:eastAsia="es-ES" w:bidi="es-ES"/>
      </w:rPr>
    </w:lvl>
  </w:abstractNum>
  <w:num w:numId="3">
    <w:abstractNumId w:val="2"/>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spacing w:before="85"/>
      <w:ind w:left="402"/>
      <w:outlineLvl w:val="1"/>
    </w:pPr>
    <w:rPr>
      <w:rFonts w:ascii="Times New Roman" w:hAnsi="Times New Roman" w:eastAsia="Times New Roman" w:cs="Times New Roman"/>
      <w:b/>
      <w:bCs/>
      <w:sz w:val="32"/>
      <w:szCs w:val="32"/>
      <w:u w:val="single" w:color="000000"/>
      <w:lang w:val="es-ES" w:eastAsia="es-ES" w:bidi="es-ES"/>
    </w:rPr>
  </w:style>
  <w:style w:styleId="Heading2" w:type="paragraph">
    <w:name w:val="Heading 2"/>
    <w:basedOn w:val="Normal"/>
    <w:uiPriority w:val="1"/>
    <w:qFormat/>
    <w:pPr>
      <w:ind w:left="402"/>
      <w:outlineLvl w:val="2"/>
    </w:pPr>
    <w:rPr>
      <w:rFonts w:ascii="Calibri" w:hAnsi="Calibri" w:eastAsia="Calibri" w:cs="Calibri"/>
      <w:sz w:val="28"/>
      <w:szCs w:val="28"/>
      <w:lang w:val="es-ES" w:eastAsia="es-ES" w:bidi="es-ES"/>
    </w:rPr>
  </w:style>
  <w:style w:styleId="Heading3" w:type="paragraph">
    <w:name w:val="Heading 3"/>
    <w:basedOn w:val="Normal"/>
    <w:uiPriority w:val="1"/>
    <w:qFormat/>
    <w:pPr>
      <w:spacing w:before="89"/>
      <w:ind w:left="402"/>
      <w:outlineLvl w:val="3"/>
    </w:pPr>
    <w:rPr>
      <w:rFonts w:ascii="Times New Roman" w:hAnsi="Times New Roman" w:eastAsia="Times New Roman" w:cs="Times New Roman"/>
      <w:b/>
      <w:bCs/>
      <w:sz w:val="26"/>
      <w:szCs w:val="26"/>
      <w:u w:val="single" w:color="000000"/>
      <w:lang w:val="es-ES" w:eastAsia="es-ES" w:bidi="es-ES"/>
    </w:rPr>
  </w:style>
  <w:style w:styleId="Heading4" w:type="paragraph">
    <w:name w:val="Heading 4"/>
    <w:basedOn w:val="Normal"/>
    <w:uiPriority w:val="1"/>
    <w:qFormat/>
    <w:pPr>
      <w:spacing w:before="90"/>
      <w:ind w:left="402"/>
      <w:outlineLvl w:val="4"/>
    </w:pPr>
    <w:rPr>
      <w:rFonts w:ascii="Times New Roman" w:hAnsi="Times New Roman" w:eastAsia="Times New Roman" w:cs="Times New Roman"/>
      <w:b/>
      <w:bCs/>
      <w:sz w:val="24"/>
      <w:szCs w:val="24"/>
      <w:lang w:val="es-ES" w:eastAsia="es-ES" w:bidi="es-ES"/>
    </w:rPr>
  </w:style>
  <w:style w:styleId="ListParagraph" w:type="paragraph">
    <w:name w:val="List Paragraph"/>
    <w:basedOn w:val="Normal"/>
    <w:uiPriority w:val="1"/>
    <w:qFormat/>
    <w:pPr>
      <w:ind w:left="402"/>
    </w:pPr>
    <w:rPr>
      <w:rFonts w:ascii="Times New Roman" w:hAnsi="Times New Roman" w:eastAsia="Times New Roman" w:cs="Times New Roman"/>
      <w:lang w:val="es-ES" w:eastAsia="es-ES" w:bidi="es-ES"/>
    </w:rPr>
  </w:style>
  <w:style w:styleId="TableParagraph" w:type="paragraph">
    <w:name w:val="Table Paragraph"/>
    <w:basedOn w:val="Normal"/>
    <w:uiPriority w:val="1"/>
    <w:qFormat/>
    <w:pPr>
      <w:spacing w:line="210" w:lineRule="exac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https://www.ayuntamientodetias.es/municipio/" TargetMode="External"/><Relationship Id="rId7" Type="http://schemas.openxmlformats.org/officeDocument/2006/relationships/hyperlink" Target="https://www.ayuntamientodetias.es/"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pn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pn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pn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jpe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pn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pn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Pérez-Utrilla Pérez</dc:creator>
  <dcterms:created xsi:type="dcterms:W3CDTF">2026-05-07T09:25:38Z</dcterms:created>
  <dcterms:modified xsi:type="dcterms:W3CDTF">2026-05-07T09:25:38Z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2026-04-24T00:00:00Z</vt:filetime>
  </property>
  <property fmtid="{D5CDD505-2E9C-101B-9397-08002B2CF9AE}" pid="3" name="Creator">
    <vt:lpwstr>Microsoft® Word para Microsoft 365</vt:lpwstr>
  </property>
  <property fmtid="{D5CDD505-2E9C-101B-9397-08002B2CF9AE}" pid="4" name="LastSaved">
    <vt:filetime>2026-05-07T00:00:00Z</vt:filetime>
  </property>
</Properties>
</file>