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spacing w:before="244"/>
        <w:ind w:left="1371" w:right="0" w:firstLine="0"/>
        <w:jc w:val="left"/>
        <w:rPr>
          <w:b/>
          <w:sz w:val="28"/>
        </w:rPr>
      </w:pPr>
      <w:r>
        <w:rPr/>
        <w:drawing>
          <wp:anchor distT="0" distB="0" distL="0" distR="0" allowOverlap="1" layoutInCell="1" locked="0" behindDoc="0" simplePos="0" relativeHeight="251659264">
            <wp:simplePos x="0" y="0"/>
            <wp:positionH relativeFrom="page">
              <wp:posOffset>1007516</wp:posOffset>
            </wp:positionH>
            <wp:positionV relativeFrom="paragraph">
              <wp:posOffset>-144756</wp:posOffset>
            </wp:positionV>
            <wp:extent cx="546963" cy="79219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963" cy="79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AYUNTAMIENTO DE TÍAS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6.463997pt;margin-top:9.866255pt;width:435.6pt;height:41.8pt;mso-position-horizontal-relative:page;mso-position-vertical-relative:paragraph;z-index:-251658240;mso-wrap-distance-left:0;mso-wrap-distance-right:0" type="#_x0000_t202" filled="false" stroked="true" strokeweight=".24002pt" strokecolor="#e4e7eb">
            <v:textbox inset="0,0,0,0">
              <w:txbxContent>
                <w:p>
                  <w:pPr>
                    <w:pStyle w:val="BodyText"/>
                    <w:ind w:left="28" w:right="776"/>
                  </w:pPr>
                  <w:r>
                    <w:rPr>
                      <w:color w:val="0E172A"/>
                    </w:rPr>
                    <w:t>Decisiones de desistimiento y renuncia de los contratos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3"/>
        </w:rPr>
      </w:pPr>
    </w:p>
    <w:p>
      <w:pPr>
        <w:spacing w:before="94"/>
        <w:ind w:left="140" w:right="0" w:firstLine="0"/>
        <w:jc w:val="left"/>
        <w:rPr>
          <w:sz w:val="22"/>
        </w:rPr>
      </w:pPr>
      <w:r>
        <w:rPr>
          <w:sz w:val="22"/>
        </w:rPr>
        <w:t>No constan en el ejercicio 2025.</w:t>
      </w:r>
    </w:p>
    <w:sectPr>
      <w:type w:val="continuous"/>
      <w:pgSz w:w="11910" w:h="16840"/>
      <w:pgMar w:top="1040" w:bottom="280" w:left="142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6"/>
      <w:szCs w:val="3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:title>INFORME-PROPUESTA</dc:title>
  <dcterms:created xsi:type="dcterms:W3CDTF">2026-04-14T13:36:20Z</dcterms:created>
  <dcterms:modified xsi:type="dcterms:W3CDTF">2026-04-14T13:36:20Z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2026-04-14T00:00:00Z</vt:filetime>
  </property>
</Properties>
</file>