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4"/>
        </w:rPr>
      </w:pPr>
    </w:p>
    <w:p>
      <w:pPr>
        <w:pStyle w:val="BodyText"/>
        <w:ind w:left="105"/>
        <w:rPr>
          <w:sz w:val="20"/>
        </w:rPr>
      </w:pPr>
      <w:r>
        <w:rPr>
          <w:position w:val="0"/>
          <w:sz w:val="20"/>
        </w:rPr>
        <w:pict>
          <v:shapetype id="_x0000_t202" o:spt="202" coordsize="21600,21600" path="m,l,21600r21600,l21600,xe">
            <v:stroke joinstyle="miter"/>
            <v:path gradientshapeok="t" o:connecttype="rect"/>
          </v:shapetype>
          <v:shape style="width:470.25pt;height:59.25pt;mso-position-horizontal-relative:char;mso-position-vertical-relative:line" type="#_x0000_t202" filled="false" stroked="true" strokeweight=".49961pt" strokecolor="#000000">
            <w10:anchorlock/>
            <v:textbox inset="0,0,0,0">
              <w:txbxContent>
                <w:p>
                  <w:pPr>
                    <w:spacing w:line="276" w:lineRule="auto" w:before="71"/>
                    <w:ind w:left="144" w:right="145" w:firstLine="0"/>
                    <w:jc w:val="both"/>
                    <w:rPr>
                      <w:b/>
                      <w:sz w:val="24"/>
                    </w:rPr>
                  </w:pPr>
                  <w:r>
                    <w:rPr>
                      <w:b/>
                      <w:sz w:val="24"/>
                    </w:rPr>
                    <w:t>PLIEGO DE PRESCRIPCIONES TÉCNICAS PARTICULARES QUE HA DE REGIR EL CONTRATO DE ACONDICIONAMIENTO E INSTALACIONES PARA CENTRO SOCIOCULTURAL ACHIMENCEY DE LA ASOMADA</w:t>
                  </w:r>
                </w:p>
              </w:txbxContent>
            </v:textbox>
            <v:stroke dashstyle="solid"/>
          </v:shape>
        </w:pict>
      </w:r>
      <w:r>
        <w:rPr>
          <w:position w:val="0"/>
          <w:sz w:val="20"/>
        </w:rPr>
      </w:r>
    </w:p>
    <w:p>
      <w:pPr>
        <w:spacing w:after="0"/>
        <w:rPr>
          <w:sz w:val="20"/>
        </w:rPr>
        <w:sectPr>
          <w:headerReference w:type="default" r:id="rId5"/>
          <w:type w:val="continuous"/>
          <w:pgSz w:w="11910" w:h="16840"/>
          <w:pgMar w:header="262" w:top="1660" w:bottom="280" w:left="1140" w:right="1140"/>
        </w:sectPr>
      </w:pPr>
    </w:p>
    <w:p>
      <w:pPr>
        <w:pStyle w:val="BodyText"/>
        <w:spacing w:before="7"/>
        <w:rPr>
          <w:sz w:val="18"/>
        </w:rPr>
      </w:pPr>
    </w:p>
    <w:p>
      <w:pPr>
        <w:spacing w:before="86"/>
        <w:ind w:left="4252" w:right="4252" w:firstLine="0"/>
        <w:jc w:val="center"/>
        <w:rPr>
          <w:sz w:val="32"/>
        </w:rPr>
      </w:pPr>
      <w:r>
        <w:rPr>
          <w:sz w:val="32"/>
        </w:rPr>
        <w:t>ÍNDICE</w:t>
      </w:r>
    </w:p>
    <w:sdt>
      <w:sdtPr>
        <w:docPartObj>
          <w:docPartGallery w:val="Table of Contents"/>
          <w:docPartUnique/>
        </w:docPartObj>
      </w:sdtPr>
      <w:sdtEndPr/>
      <w:sdtContent>
        <w:p>
          <w:pPr>
            <w:pStyle w:val="TOC1"/>
            <w:numPr>
              <w:ilvl w:val="0"/>
              <w:numId w:val="1"/>
            </w:numPr>
            <w:tabs>
              <w:tab w:pos="1041" w:val="left" w:leader="none"/>
              <w:tab w:pos="1042" w:val="left" w:leader="none"/>
              <w:tab w:pos="8937" w:val="left" w:leader="dot"/>
            </w:tabs>
            <w:spacing w:line="240" w:lineRule="auto" w:before="518" w:after="0"/>
            <w:ind w:left="1042" w:right="0" w:hanging="480"/>
            <w:jc w:val="left"/>
            <w:rPr>
              <w:b w:val="0"/>
            </w:rPr>
          </w:pPr>
          <w:hyperlink w:history="true" w:anchor="_bookmark0">
            <w:r>
              <w:rPr/>
              <w:t>OBJETO</w:t>
            </w:r>
            <w:r>
              <w:rPr>
                <w:spacing w:val="-3"/>
              </w:rPr>
              <w:t> </w:t>
            </w:r>
            <w:r>
              <w:rPr/>
              <w:t>DEL</w:t>
            </w:r>
            <w:r>
              <w:rPr>
                <w:spacing w:val="-3"/>
              </w:rPr>
              <w:t> </w:t>
            </w:r>
            <w:r>
              <w:rPr/>
              <w:t>CONTRATO</w:t>
              <w:tab/>
            </w:r>
            <w:r>
              <w:rPr>
                <w:b w:val="0"/>
              </w:rPr>
              <w:t>3</w:t>
            </w:r>
          </w:hyperlink>
        </w:p>
        <w:p>
          <w:pPr>
            <w:pStyle w:val="TOC1"/>
            <w:numPr>
              <w:ilvl w:val="0"/>
              <w:numId w:val="1"/>
            </w:numPr>
            <w:tabs>
              <w:tab w:pos="1041" w:val="left" w:leader="none"/>
              <w:tab w:pos="1042" w:val="left" w:leader="none"/>
              <w:tab w:pos="8937" w:val="left" w:leader="dot"/>
            </w:tabs>
            <w:spacing w:line="240" w:lineRule="auto" w:before="139" w:after="0"/>
            <w:ind w:left="1042" w:right="0" w:hanging="480"/>
            <w:jc w:val="left"/>
            <w:rPr>
              <w:b w:val="0"/>
            </w:rPr>
          </w:pPr>
          <w:hyperlink w:history="true" w:anchor="_bookmark1">
            <w:r>
              <w:rPr/>
              <w:t>ALCANCE DE</w:t>
            </w:r>
            <w:r>
              <w:rPr>
                <w:spacing w:val="-7"/>
              </w:rPr>
              <w:t> </w:t>
            </w:r>
            <w:r>
              <w:rPr/>
              <w:t>LOS</w:t>
            </w:r>
            <w:r>
              <w:rPr>
                <w:spacing w:val="-2"/>
              </w:rPr>
              <w:t> </w:t>
            </w:r>
            <w:r>
              <w:rPr/>
              <w:t>TRABAJOS</w:t>
              <w:tab/>
            </w:r>
            <w:r>
              <w:rPr>
                <w:b w:val="0"/>
              </w:rPr>
              <w:t>3</w:t>
            </w:r>
          </w:hyperlink>
        </w:p>
        <w:p>
          <w:pPr>
            <w:pStyle w:val="TOC1"/>
            <w:numPr>
              <w:ilvl w:val="0"/>
              <w:numId w:val="1"/>
            </w:numPr>
            <w:tabs>
              <w:tab w:pos="1041" w:val="left" w:leader="none"/>
              <w:tab w:pos="1042" w:val="left" w:leader="none"/>
              <w:tab w:pos="8937" w:val="left" w:leader="dot"/>
            </w:tabs>
            <w:spacing w:line="240" w:lineRule="auto" w:before="142" w:after="0"/>
            <w:ind w:left="1042" w:right="0" w:hanging="480"/>
            <w:jc w:val="left"/>
            <w:rPr>
              <w:b w:val="0"/>
            </w:rPr>
          </w:pPr>
          <w:hyperlink w:history="true" w:anchor="_bookmark2">
            <w:r>
              <w:rPr/>
              <w:t>NORMATIVA</w:t>
            </w:r>
            <w:r>
              <w:rPr>
                <w:spacing w:val="-4"/>
              </w:rPr>
              <w:t> </w:t>
            </w:r>
            <w:r>
              <w:rPr/>
              <w:t>APLICABLE</w:t>
              <w:tab/>
            </w:r>
            <w:r>
              <w:rPr>
                <w:b w:val="0"/>
              </w:rPr>
              <w:t>3</w:t>
            </w:r>
          </w:hyperlink>
        </w:p>
        <w:p>
          <w:pPr>
            <w:pStyle w:val="TOC1"/>
            <w:numPr>
              <w:ilvl w:val="0"/>
              <w:numId w:val="1"/>
            </w:numPr>
            <w:tabs>
              <w:tab w:pos="1041" w:val="left" w:leader="none"/>
              <w:tab w:pos="1042" w:val="left" w:leader="none"/>
              <w:tab w:pos="8937" w:val="left" w:leader="dot"/>
            </w:tabs>
            <w:spacing w:line="240" w:lineRule="auto" w:before="142" w:after="0"/>
            <w:ind w:left="1042" w:right="0" w:hanging="480"/>
            <w:jc w:val="left"/>
            <w:rPr>
              <w:b w:val="0"/>
            </w:rPr>
          </w:pPr>
          <w:hyperlink w:history="true" w:anchor="_bookmark3">
            <w:r>
              <w:rPr/>
              <w:t>GESTIÓN</w:t>
            </w:r>
            <w:r>
              <w:rPr>
                <w:spacing w:val="-4"/>
              </w:rPr>
              <w:t> </w:t>
            </w:r>
            <w:r>
              <w:rPr/>
              <w:t>DOCUMENTAL</w:t>
              <w:tab/>
            </w:r>
            <w:r>
              <w:rPr>
                <w:b w:val="0"/>
              </w:rPr>
              <w:t>5</w:t>
            </w:r>
          </w:hyperlink>
        </w:p>
        <w:p>
          <w:pPr>
            <w:pStyle w:val="TOC1"/>
            <w:numPr>
              <w:ilvl w:val="0"/>
              <w:numId w:val="1"/>
            </w:numPr>
            <w:tabs>
              <w:tab w:pos="1041" w:val="left" w:leader="none"/>
              <w:tab w:pos="1042" w:val="left" w:leader="none"/>
              <w:tab w:pos="8937" w:val="left" w:leader="dot"/>
            </w:tabs>
            <w:spacing w:line="240" w:lineRule="auto" w:before="141" w:after="0"/>
            <w:ind w:left="1042" w:right="0" w:hanging="480"/>
            <w:jc w:val="left"/>
            <w:rPr>
              <w:b w:val="0"/>
            </w:rPr>
          </w:pPr>
          <w:hyperlink w:history="true" w:anchor="_bookmark4">
            <w:r>
              <w:rPr/>
              <w:t>PROYECTO</w:t>
              <w:tab/>
            </w:r>
            <w:r>
              <w:rPr>
                <w:b w:val="0"/>
              </w:rPr>
              <w:t>5</w:t>
            </w:r>
          </w:hyperlink>
        </w:p>
        <w:p>
          <w:pPr>
            <w:pStyle w:val="TOC1"/>
            <w:numPr>
              <w:ilvl w:val="0"/>
              <w:numId w:val="1"/>
            </w:numPr>
            <w:tabs>
              <w:tab w:pos="1041" w:val="left" w:leader="none"/>
              <w:tab w:pos="1042" w:val="left" w:leader="none"/>
              <w:tab w:pos="8937" w:val="left" w:leader="dot"/>
            </w:tabs>
            <w:spacing w:line="240" w:lineRule="auto" w:before="143" w:after="0"/>
            <w:ind w:left="1042" w:right="0" w:hanging="480"/>
            <w:jc w:val="left"/>
            <w:rPr>
              <w:b w:val="0"/>
            </w:rPr>
          </w:pPr>
          <w:hyperlink w:history="true" w:anchor="_bookmark5">
            <w:r>
              <w:rPr/>
              <w:t>CARACTERÍSTICAS INSTALACIÓN, EQUIPOS</w:t>
            </w:r>
            <w:r>
              <w:rPr>
                <w:spacing w:val="-15"/>
              </w:rPr>
              <w:t> </w:t>
            </w:r>
            <w:r>
              <w:rPr/>
              <w:t>Y</w:t>
            </w:r>
            <w:r>
              <w:rPr>
                <w:spacing w:val="-5"/>
              </w:rPr>
              <w:t> </w:t>
            </w:r>
            <w:r>
              <w:rPr/>
              <w:t>MATERIALES</w:t>
              <w:tab/>
            </w:r>
            <w:r>
              <w:rPr>
                <w:b w:val="0"/>
              </w:rPr>
              <w:t>5</w:t>
            </w:r>
          </w:hyperlink>
        </w:p>
        <w:p>
          <w:pPr>
            <w:pStyle w:val="TOC1"/>
            <w:numPr>
              <w:ilvl w:val="0"/>
              <w:numId w:val="1"/>
            </w:numPr>
            <w:tabs>
              <w:tab w:pos="1041" w:val="left" w:leader="none"/>
              <w:tab w:pos="1042" w:val="left" w:leader="none"/>
              <w:tab w:pos="8937" w:val="left" w:leader="dot"/>
            </w:tabs>
            <w:spacing w:line="276" w:lineRule="auto" w:before="141" w:after="0"/>
            <w:ind w:left="562" w:right="560" w:firstLine="0"/>
            <w:jc w:val="left"/>
            <w:rPr>
              <w:b w:val="0"/>
            </w:rPr>
          </w:pPr>
          <w:hyperlink w:history="true" w:anchor="_bookmark6">
            <w:r>
              <w:rPr/>
              <w:t>MANTENIMIENTO DE LAS INSTALACIÓN PARA CUMPLIMIENTO</w:t>
            </w:r>
          </w:hyperlink>
          <w:hyperlink w:history="true" w:anchor="_bookmark6">
            <w:r>
              <w:rPr/>
              <w:t> CON EL PERIODO</w:t>
            </w:r>
            <w:r>
              <w:rPr>
                <w:spacing w:val="-7"/>
              </w:rPr>
              <w:t> </w:t>
            </w:r>
            <w:r>
              <w:rPr/>
              <w:t>DE</w:t>
            </w:r>
            <w:r>
              <w:rPr>
                <w:spacing w:val="-2"/>
              </w:rPr>
              <w:t> </w:t>
            </w:r>
            <w:r>
              <w:rPr/>
              <w:t>GARANTÍA</w:t>
              <w:tab/>
            </w:r>
            <w:r>
              <w:rPr>
                <w:b w:val="0"/>
                <w:spacing w:val="-11"/>
              </w:rPr>
              <w:t>6</w:t>
            </w:r>
          </w:hyperlink>
        </w:p>
        <w:p>
          <w:pPr>
            <w:pStyle w:val="TOC1"/>
            <w:numPr>
              <w:ilvl w:val="0"/>
              <w:numId w:val="1"/>
            </w:numPr>
            <w:tabs>
              <w:tab w:pos="1041" w:val="left" w:leader="none"/>
              <w:tab w:pos="1042" w:val="left" w:leader="none"/>
              <w:tab w:pos="8937" w:val="left" w:leader="dot"/>
            </w:tabs>
            <w:spacing w:line="240" w:lineRule="auto" w:before="100" w:after="0"/>
            <w:ind w:left="1042" w:right="0" w:hanging="480"/>
            <w:jc w:val="left"/>
            <w:rPr>
              <w:b w:val="0"/>
            </w:rPr>
          </w:pPr>
          <w:hyperlink w:history="true" w:anchor="_bookmark7">
            <w:r>
              <w:rPr/>
              <w:t>PRECIO</w:t>
            </w:r>
            <w:r>
              <w:rPr>
                <w:spacing w:val="-4"/>
              </w:rPr>
              <w:t> </w:t>
            </w:r>
            <w:r>
              <w:rPr/>
              <w:t>DE</w:t>
            </w:r>
            <w:r>
              <w:rPr>
                <w:spacing w:val="-4"/>
              </w:rPr>
              <w:t> </w:t>
            </w:r>
            <w:r>
              <w:rPr/>
              <w:t>LICITACIÓN</w:t>
              <w:tab/>
            </w:r>
            <w:r>
              <w:rPr>
                <w:b w:val="0"/>
              </w:rPr>
              <w:t>6</w:t>
            </w:r>
          </w:hyperlink>
        </w:p>
        <w:p>
          <w:pPr>
            <w:pStyle w:val="TOC1"/>
            <w:numPr>
              <w:ilvl w:val="0"/>
              <w:numId w:val="1"/>
            </w:numPr>
            <w:tabs>
              <w:tab w:pos="1041" w:val="left" w:leader="none"/>
              <w:tab w:pos="1042" w:val="left" w:leader="none"/>
              <w:tab w:pos="8937" w:val="left" w:leader="dot"/>
            </w:tabs>
            <w:spacing w:line="240" w:lineRule="auto" w:before="141" w:after="0"/>
            <w:ind w:left="1042" w:right="0" w:hanging="480"/>
            <w:jc w:val="left"/>
            <w:rPr>
              <w:b w:val="0"/>
            </w:rPr>
          </w:pPr>
          <w:hyperlink w:history="true" w:anchor="_bookmark8">
            <w:r>
              <w:rPr/>
              <w:t>SEGURIDAD</w:t>
            </w:r>
            <w:r>
              <w:rPr>
                <w:spacing w:val="-3"/>
              </w:rPr>
              <w:t> </w:t>
            </w:r>
            <w:r>
              <w:rPr/>
              <w:t>Y</w:t>
            </w:r>
            <w:r>
              <w:rPr>
                <w:spacing w:val="-2"/>
              </w:rPr>
              <w:t> </w:t>
            </w:r>
            <w:r>
              <w:rPr/>
              <w:t>SALUD</w:t>
              <w:tab/>
            </w:r>
            <w:r>
              <w:rPr>
                <w:b w:val="0"/>
              </w:rPr>
              <w:t>7</w:t>
            </w:r>
          </w:hyperlink>
        </w:p>
      </w:sdtContent>
    </w:sdt>
    <w:p>
      <w:pPr>
        <w:spacing w:after="0" w:line="240" w:lineRule="auto"/>
        <w:jc w:val="left"/>
        <w:sectPr>
          <w:pgSz w:w="11910" w:h="16840"/>
          <w:pgMar w:header="262" w:footer="0" w:top="1660" w:bottom="280" w:left="1140" w:right="1140"/>
        </w:sectPr>
      </w:pPr>
    </w:p>
    <w:p>
      <w:pPr>
        <w:pStyle w:val="BodyText"/>
        <w:spacing w:before="7"/>
        <w:rPr>
          <w:sz w:val="22"/>
        </w:rPr>
      </w:pPr>
    </w:p>
    <w:p>
      <w:pPr>
        <w:spacing w:line="276" w:lineRule="auto" w:before="0"/>
        <w:ind w:left="562" w:right="560" w:firstLine="0"/>
        <w:jc w:val="both"/>
        <w:rPr>
          <w:b/>
          <w:sz w:val="24"/>
        </w:rPr>
      </w:pPr>
      <w:r>
        <w:rPr>
          <w:b/>
          <w:sz w:val="24"/>
        </w:rPr>
        <w:t>PLIEGO DE PRESCRIPCIONES TÉCNICAS PARTICULARES QUE HA DE REGIR EL CONTRATO DE ACONDICIONAMIENTO E INSTALACIONES PARA CENTRO SOCIOCULTURAL ACHIMENCEY DE LA ASOMADA</w:t>
      </w:r>
    </w:p>
    <w:p>
      <w:pPr>
        <w:pStyle w:val="BodyText"/>
        <w:spacing w:before="4"/>
        <w:rPr>
          <w:b/>
          <w:sz w:val="31"/>
        </w:rPr>
      </w:pPr>
    </w:p>
    <w:p>
      <w:pPr>
        <w:pStyle w:val="Heading1"/>
        <w:numPr>
          <w:ilvl w:val="1"/>
          <w:numId w:val="1"/>
        </w:numPr>
        <w:tabs>
          <w:tab w:pos="1270" w:val="left" w:leader="none"/>
        </w:tabs>
        <w:spacing w:line="240" w:lineRule="auto" w:before="0" w:after="0"/>
        <w:ind w:left="1270" w:right="0" w:hanging="349"/>
        <w:jc w:val="left"/>
      </w:pPr>
      <w:bookmarkStart w:name="_bookmark0" w:id="1"/>
      <w:bookmarkEnd w:id="1"/>
      <w:r>
        <w:rPr>
          <w:b w:val="0"/>
        </w:rPr>
      </w:r>
      <w:bookmarkStart w:name="_bookmark0" w:id="2"/>
      <w:bookmarkEnd w:id="2"/>
      <w:r>
        <w:rPr/>
        <w:t>O</w:t>
      </w:r>
      <w:r>
        <w:rPr/>
        <w:t>BJETO DEL</w:t>
      </w:r>
      <w:r>
        <w:rPr>
          <w:spacing w:val="-15"/>
        </w:rPr>
        <w:t> </w:t>
      </w:r>
      <w:r>
        <w:rPr>
          <w:spacing w:val="-4"/>
        </w:rPr>
        <w:t>CONTRATO</w:t>
      </w:r>
    </w:p>
    <w:p>
      <w:pPr>
        <w:pStyle w:val="BodyText"/>
        <w:spacing w:line="276" w:lineRule="auto" w:before="120"/>
        <w:ind w:left="562" w:right="560"/>
        <w:jc w:val="both"/>
      </w:pPr>
      <w:r>
        <w:rPr/>
        <w:t>El presente pliego de prescripciones técnicas tiene por objeto definir los requisitos, especificaciones y condiciones que regirán la ejecución de las obras de adecuación y acondicionamiento del Centro Sociocultural Achimencey de La Asomada, con el fin de mejorar la funcionalidad, la accesibilidad, la eficiencia energética y el confort de las instalaciones, garantizando el cumplimiento de la normativa vigente.</w:t>
      </w:r>
    </w:p>
    <w:p>
      <w:pPr>
        <w:pStyle w:val="BodyText"/>
        <w:spacing w:before="6"/>
        <w:rPr>
          <w:sz w:val="31"/>
        </w:rPr>
      </w:pPr>
    </w:p>
    <w:p>
      <w:pPr>
        <w:pStyle w:val="Heading1"/>
        <w:numPr>
          <w:ilvl w:val="1"/>
          <w:numId w:val="1"/>
        </w:numPr>
        <w:tabs>
          <w:tab w:pos="1270" w:val="left" w:leader="none"/>
        </w:tabs>
        <w:spacing w:line="240" w:lineRule="auto" w:before="0" w:after="0"/>
        <w:ind w:left="1270" w:right="0" w:hanging="349"/>
        <w:jc w:val="left"/>
      </w:pPr>
      <w:bookmarkStart w:name="_bookmark1" w:id="3"/>
      <w:bookmarkEnd w:id="3"/>
      <w:r>
        <w:rPr>
          <w:b w:val="0"/>
        </w:rPr>
      </w:r>
      <w:bookmarkStart w:name="_bookmark1" w:id="4"/>
      <w:bookmarkEnd w:id="4"/>
      <w:r>
        <w:rPr/>
        <w:t>ALCANC</w:t>
      </w:r>
      <w:r>
        <w:rPr/>
        <w:t>E DE LOS</w:t>
      </w:r>
      <w:r>
        <w:rPr>
          <w:spacing w:val="-6"/>
        </w:rPr>
        <w:t> </w:t>
      </w:r>
      <w:r>
        <w:rPr/>
        <w:t>TRABAJOS</w:t>
      </w:r>
    </w:p>
    <w:p>
      <w:pPr>
        <w:pStyle w:val="BodyText"/>
        <w:spacing w:line="276" w:lineRule="auto" w:before="120"/>
        <w:ind w:left="562" w:right="561"/>
        <w:jc w:val="both"/>
      </w:pPr>
      <w:r>
        <w:rPr/>
        <w:t>El proyecto comprende la reforma de las instalaciones y adecuación del centro para cumplimiento con la normativa pertinente.</w:t>
      </w:r>
    </w:p>
    <w:p>
      <w:pPr>
        <w:pStyle w:val="BodyText"/>
        <w:spacing w:before="201"/>
        <w:ind w:left="562"/>
        <w:jc w:val="both"/>
      </w:pPr>
      <w:r>
        <w:rPr/>
        <w:t>Los trabajos comprenderán, entre otros:</w:t>
      </w:r>
    </w:p>
    <w:p>
      <w:pPr>
        <w:pStyle w:val="BodyText"/>
        <w:rPr>
          <w:sz w:val="21"/>
        </w:rPr>
      </w:pPr>
    </w:p>
    <w:p>
      <w:pPr>
        <w:pStyle w:val="ListParagraph"/>
        <w:numPr>
          <w:ilvl w:val="0"/>
          <w:numId w:val="2"/>
        </w:numPr>
        <w:tabs>
          <w:tab w:pos="1270" w:val="left" w:leader="none"/>
        </w:tabs>
        <w:spacing w:line="276" w:lineRule="auto" w:before="0" w:after="0"/>
        <w:ind w:left="1282" w:right="556" w:hanging="360"/>
        <w:jc w:val="both"/>
        <w:rPr>
          <w:sz w:val="24"/>
        </w:rPr>
      </w:pPr>
      <w:r>
        <w:rPr>
          <w:sz w:val="24"/>
        </w:rPr>
        <w:t>La instalación eléctrica existente se renovará íntegramente para adaptarla a las necesidades actuales del edificio y a la normativa vigente, conforme al Reglamento Electrotécnico para Baja Tensión (REBT, RD 842/2002) y sus Instrucciones Técnicas Complementarias (ITC-BT). Las actuaciones objeto incluirá la sustitución de cuadros eléctricos generales y secundarios, renovación del cableado de distribución y derivaciones individuales, instalación de nuevas canalizaciones empotradas o vistas, nuevo sistema de iluminación interior con tecnología Led, revisión y adecuación de la instalación de alumbrado de emergencia y señalización de</w:t>
      </w:r>
      <w:r>
        <w:rPr>
          <w:spacing w:val="-2"/>
          <w:sz w:val="24"/>
        </w:rPr>
        <w:t> </w:t>
      </w:r>
      <w:r>
        <w:rPr>
          <w:sz w:val="24"/>
        </w:rPr>
        <w:t>evacuación.</w:t>
      </w:r>
    </w:p>
    <w:p>
      <w:pPr>
        <w:pStyle w:val="ListParagraph"/>
        <w:numPr>
          <w:ilvl w:val="0"/>
          <w:numId w:val="2"/>
        </w:numPr>
        <w:tabs>
          <w:tab w:pos="1270" w:val="left" w:leader="none"/>
        </w:tabs>
        <w:spacing w:line="273" w:lineRule="auto" w:before="0" w:after="0"/>
        <w:ind w:left="1282" w:right="564" w:hanging="360"/>
        <w:jc w:val="both"/>
        <w:rPr>
          <w:sz w:val="24"/>
        </w:rPr>
      </w:pPr>
      <w:r>
        <w:rPr>
          <w:sz w:val="24"/>
        </w:rPr>
        <w:t>Actualización de instalaciones de climatización y fontanería. La red de fontanería y saneamiento se adecuará para garantizar el correcto suministro y evacuación de aguas conforme a la normativa sanitaria aplicable. Asimismo, se garantizará el cumplimiento del RITE en cuanto a calidad de aire</w:t>
      </w:r>
      <w:r>
        <w:rPr>
          <w:spacing w:val="-6"/>
          <w:sz w:val="24"/>
        </w:rPr>
        <w:t> </w:t>
      </w:r>
      <w:r>
        <w:rPr>
          <w:sz w:val="24"/>
        </w:rPr>
        <w:t>interior.</w:t>
      </w:r>
    </w:p>
    <w:p>
      <w:pPr>
        <w:pStyle w:val="ListParagraph"/>
        <w:numPr>
          <w:ilvl w:val="0"/>
          <w:numId w:val="2"/>
        </w:numPr>
        <w:tabs>
          <w:tab w:pos="1270" w:val="left" w:leader="none"/>
        </w:tabs>
        <w:spacing w:line="273" w:lineRule="auto" w:before="7" w:after="0"/>
        <w:ind w:left="1282" w:right="560" w:hanging="360"/>
        <w:jc w:val="both"/>
        <w:rPr>
          <w:sz w:val="24"/>
        </w:rPr>
      </w:pPr>
      <w:r>
        <w:rPr>
          <w:sz w:val="24"/>
        </w:rPr>
        <w:t>Mejora de accesibilidad. Las intervenciones previstas para la mejora de la accesibilidad comprenderán: accesos exteriores y comunicación horizontal, aseos accesibles, mobiliario y</w:t>
      </w:r>
      <w:r>
        <w:rPr>
          <w:spacing w:val="-2"/>
          <w:sz w:val="24"/>
        </w:rPr>
        <w:t> </w:t>
      </w:r>
      <w:r>
        <w:rPr>
          <w:sz w:val="24"/>
        </w:rPr>
        <w:t>equipamiento.</w:t>
      </w:r>
    </w:p>
    <w:p>
      <w:pPr>
        <w:pStyle w:val="ListParagraph"/>
        <w:numPr>
          <w:ilvl w:val="0"/>
          <w:numId w:val="2"/>
        </w:numPr>
        <w:tabs>
          <w:tab w:pos="1270" w:val="left" w:leader="none"/>
        </w:tabs>
        <w:spacing w:line="240" w:lineRule="auto" w:before="5" w:after="0"/>
        <w:ind w:left="1270" w:right="0" w:hanging="349"/>
        <w:jc w:val="both"/>
        <w:rPr>
          <w:sz w:val="24"/>
        </w:rPr>
      </w:pPr>
      <w:r>
        <w:rPr>
          <w:sz w:val="24"/>
        </w:rPr>
        <w:t>Trabajos de pintura, iluminación y mobiliario</w:t>
      </w:r>
      <w:r>
        <w:rPr>
          <w:spacing w:val="-1"/>
          <w:sz w:val="24"/>
        </w:rPr>
        <w:t> </w:t>
      </w:r>
      <w:r>
        <w:rPr>
          <w:sz w:val="24"/>
        </w:rPr>
        <w:t>fijo.</w:t>
      </w:r>
    </w:p>
    <w:p>
      <w:pPr>
        <w:pStyle w:val="BodyText"/>
        <w:spacing w:before="9"/>
        <w:rPr>
          <w:sz w:val="34"/>
        </w:rPr>
      </w:pPr>
    </w:p>
    <w:p>
      <w:pPr>
        <w:pStyle w:val="Heading1"/>
        <w:numPr>
          <w:ilvl w:val="1"/>
          <w:numId w:val="1"/>
        </w:numPr>
        <w:tabs>
          <w:tab w:pos="1270" w:val="left" w:leader="none"/>
        </w:tabs>
        <w:spacing w:line="240" w:lineRule="auto" w:before="0" w:after="0"/>
        <w:ind w:left="1270" w:right="0" w:hanging="349"/>
        <w:jc w:val="left"/>
      </w:pPr>
      <w:bookmarkStart w:name="_bookmark2" w:id="5"/>
      <w:bookmarkEnd w:id="5"/>
      <w:r>
        <w:rPr>
          <w:b w:val="0"/>
        </w:rPr>
      </w:r>
      <w:bookmarkStart w:name="_bookmark2" w:id="6"/>
      <w:bookmarkEnd w:id="6"/>
      <w:r>
        <w:rPr>
          <w:spacing w:val="-7"/>
        </w:rPr>
        <w:t>NOR</w:t>
      </w:r>
      <w:r>
        <w:rPr>
          <w:spacing w:val="-7"/>
        </w:rPr>
        <w:t>MATIVA</w:t>
      </w:r>
      <w:r>
        <w:rPr>
          <w:spacing w:val="-27"/>
        </w:rPr>
        <w:t> </w:t>
      </w:r>
      <w:r>
        <w:rPr/>
        <w:t>APLICABLE</w:t>
      </w:r>
    </w:p>
    <w:p>
      <w:pPr>
        <w:pStyle w:val="BodyText"/>
        <w:spacing w:before="120"/>
        <w:ind w:left="562"/>
        <w:jc w:val="both"/>
      </w:pPr>
      <w:r>
        <w:rPr>
          <w:u w:val="single"/>
        </w:rPr>
        <w:t>Normas reguladoras de los contratos del sector público</w:t>
      </w:r>
    </w:p>
    <w:p>
      <w:pPr>
        <w:pStyle w:val="BodyText"/>
        <w:spacing w:before="10"/>
        <w:rPr>
          <w:sz w:val="20"/>
        </w:rPr>
      </w:pPr>
    </w:p>
    <w:p>
      <w:pPr>
        <w:pStyle w:val="ListParagraph"/>
        <w:numPr>
          <w:ilvl w:val="0"/>
          <w:numId w:val="3"/>
        </w:numPr>
        <w:tabs>
          <w:tab w:pos="1269" w:val="left" w:leader="none"/>
          <w:tab w:pos="1270" w:val="left" w:leader="none"/>
        </w:tabs>
        <w:spacing w:line="240" w:lineRule="auto" w:before="0" w:after="0"/>
        <w:ind w:left="1270" w:right="0" w:hanging="349"/>
        <w:jc w:val="left"/>
        <w:rPr>
          <w:sz w:val="24"/>
        </w:rPr>
      </w:pPr>
      <w:r>
        <w:rPr>
          <w:sz w:val="24"/>
        </w:rPr>
        <w:t>Ley 9/2017, de 8 de noviembre, de Contratos del Sector Público</w:t>
      </w:r>
      <w:r>
        <w:rPr>
          <w:spacing w:val="-6"/>
          <w:sz w:val="24"/>
        </w:rPr>
        <w:t> </w:t>
      </w:r>
      <w:r>
        <w:rPr>
          <w:sz w:val="24"/>
        </w:rPr>
        <w:t>(LCSP)</w:t>
      </w:r>
    </w:p>
    <w:p>
      <w:pPr>
        <w:pStyle w:val="ListParagraph"/>
        <w:numPr>
          <w:ilvl w:val="0"/>
          <w:numId w:val="3"/>
        </w:numPr>
        <w:tabs>
          <w:tab w:pos="1269" w:val="left" w:leader="none"/>
          <w:tab w:pos="1270" w:val="left" w:leader="none"/>
        </w:tabs>
        <w:spacing w:line="276" w:lineRule="auto" w:before="43" w:after="0"/>
        <w:ind w:left="1282" w:right="561" w:hanging="360"/>
        <w:jc w:val="left"/>
        <w:rPr>
          <w:sz w:val="24"/>
        </w:rPr>
      </w:pPr>
      <w:r>
        <w:rPr>
          <w:sz w:val="24"/>
        </w:rPr>
        <w:t>Real Decreto 1098/2001, de 12 de octubre, por el que se aprueba el Reglamento General de la Ley de Contratos de las Administraciones Públicas</w:t>
      </w:r>
      <w:r>
        <w:rPr>
          <w:spacing w:val="-12"/>
          <w:sz w:val="24"/>
        </w:rPr>
        <w:t> </w:t>
      </w:r>
      <w:r>
        <w:rPr>
          <w:sz w:val="24"/>
        </w:rPr>
        <w:t>(RGLCAP)</w:t>
      </w:r>
    </w:p>
    <w:p>
      <w:pPr>
        <w:spacing w:after="0" w:line="276" w:lineRule="auto"/>
        <w:jc w:val="left"/>
        <w:rPr>
          <w:sz w:val="24"/>
        </w:rPr>
        <w:sectPr>
          <w:pgSz w:w="11910" w:h="16840"/>
          <w:pgMar w:header="262" w:footer="0" w:top="1660" w:bottom="280" w:left="1140" w:right="1140"/>
        </w:sectPr>
      </w:pPr>
    </w:p>
    <w:p>
      <w:pPr>
        <w:pStyle w:val="BodyText"/>
        <w:spacing w:before="9"/>
        <w:rPr>
          <w:sz w:val="14"/>
        </w:rPr>
      </w:pPr>
    </w:p>
    <w:p>
      <w:pPr>
        <w:pStyle w:val="BodyText"/>
        <w:spacing w:before="90"/>
        <w:ind w:left="562"/>
      </w:pPr>
      <w:r>
        <w:rPr>
          <w:u w:val="single"/>
        </w:rPr>
        <w:t>Normas reguladoras en materia de actividades clasificadas</w:t>
      </w:r>
    </w:p>
    <w:p>
      <w:pPr>
        <w:pStyle w:val="BodyText"/>
        <w:spacing w:before="1"/>
        <w:rPr>
          <w:sz w:val="21"/>
        </w:rPr>
      </w:pPr>
    </w:p>
    <w:p>
      <w:pPr>
        <w:pStyle w:val="ListParagraph"/>
        <w:numPr>
          <w:ilvl w:val="0"/>
          <w:numId w:val="4"/>
        </w:numPr>
        <w:tabs>
          <w:tab w:pos="1270" w:val="left" w:leader="none"/>
        </w:tabs>
        <w:spacing w:line="264" w:lineRule="auto" w:before="0" w:after="0"/>
        <w:ind w:left="1282" w:right="564" w:hanging="360"/>
        <w:jc w:val="both"/>
        <w:rPr>
          <w:sz w:val="24"/>
        </w:rPr>
      </w:pPr>
      <w:r>
        <w:rPr>
          <w:sz w:val="24"/>
        </w:rPr>
        <w:t>Ley 7/2011, de 5 de abril, de actividades clasificadas y espectáculos públicos y otras medidas administrativas</w:t>
      </w:r>
      <w:r>
        <w:rPr>
          <w:spacing w:val="-4"/>
          <w:sz w:val="24"/>
        </w:rPr>
        <w:t> </w:t>
      </w:r>
      <w:r>
        <w:rPr>
          <w:sz w:val="24"/>
        </w:rPr>
        <w:t>complementarias.</w:t>
      </w:r>
    </w:p>
    <w:p>
      <w:pPr>
        <w:pStyle w:val="ListParagraph"/>
        <w:numPr>
          <w:ilvl w:val="0"/>
          <w:numId w:val="4"/>
        </w:numPr>
        <w:tabs>
          <w:tab w:pos="1270" w:val="left" w:leader="none"/>
        </w:tabs>
        <w:spacing w:line="268" w:lineRule="auto" w:before="13" w:after="0"/>
        <w:ind w:left="1282" w:right="562" w:hanging="360"/>
        <w:jc w:val="both"/>
        <w:rPr>
          <w:sz w:val="24"/>
        </w:rPr>
      </w:pPr>
      <w:r>
        <w:rPr>
          <w:sz w:val="24"/>
        </w:rPr>
        <w:t>Decreto 52/2012, de 7 de junio, por el que se establece la relación de actividades clasificadas y se determinan aquellas a las que resulta de aplicación el régimen de autorización administrativa</w:t>
      </w:r>
      <w:r>
        <w:rPr>
          <w:spacing w:val="-3"/>
          <w:sz w:val="24"/>
        </w:rPr>
        <w:t> </w:t>
      </w:r>
      <w:r>
        <w:rPr>
          <w:sz w:val="24"/>
        </w:rPr>
        <w:t>previa.</w:t>
      </w:r>
    </w:p>
    <w:p>
      <w:pPr>
        <w:pStyle w:val="ListParagraph"/>
        <w:numPr>
          <w:ilvl w:val="0"/>
          <w:numId w:val="4"/>
        </w:numPr>
        <w:tabs>
          <w:tab w:pos="1270" w:val="left" w:leader="none"/>
        </w:tabs>
        <w:spacing w:line="264" w:lineRule="auto" w:before="9" w:after="0"/>
        <w:ind w:left="1282" w:right="679" w:hanging="360"/>
        <w:jc w:val="both"/>
        <w:rPr>
          <w:sz w:val="24"/>
        </w:rPr>
      </w:pPr>
      <w:r>
        <w:rPr>
          <w:sz w:val="24"/>
        </w:rPr>
        <w:t>Decreto 86/2013, de 1 de agosto, por el que se aprueba el Reglamento de activi- dades clasificadas y espectáculos</w:t>
      </w:r>
      <w:r>
        <w:rPr>
          <w:spacing w:val="-1"/>
          <w:sz w:val="24"/>
        </w:rPr>
        <w:t> </w:t>
      </w:r>
      <w:r>
        <w:rPr>
          <w:sz w:val="24"/>
        </w:rPr>
        <w:t>públicos.</w:t>
      </w:r>
    </w:p>
    <w:p>
      <w:pPr>
        <w:pStyle w:val="BodyText"/>
        <w:spacing w:before="9"/>
        <w:rPr>
          <w:sz w:val="28"/>
        </w:rPr>
      </w:pPr>
    </w:p>
    <w:p>
      <w:pPr>
        <w:pStyle w:val="BodyText"/>
        <w:spacing w:before="1"/>
        <w:ind w:left="921"/>
        <w:jc w:val="both"/>
      </w:pPr>
      <w:r>
        <w:rPr>
          <w:u w:val="single"/>
        </w:rPr>
        <w:t>Normas reguladoras en materia de prevención de riesgos laborales</w:t>
      </w:r>
    </w:p>
    <w:p>
      <w:pPr>
        <w:pStyle w:val="ListParagraph"/>
        <w:numPr>
          <w:ilvl w:val="0"/>
          <w:numId w:val="4"/>
        </w:numPr>
        <w:tabs>
          <w:tab w:pos="1270" w:val="left" w:leader="none"/>
        </w:tabs>
        <w:spacing w:line="240" w:lineRule="auto" w:before="41" w:after="0"/>
        <w:ind w:left="1270" w:right="0" w:hanging="349"/>
        <w:jc w:val="both"/>
        <w:rPr>
          <w:sz w:val="24"/>
        </w:rPr>
      </w:pPr>
      <w:r>
        <w:rPr>
          <w:sz w:val="24"/>
        </w:rPr>
        <w:t>Ley 31/1995, de 8 de noviembre, de Prevención de Riesgos Laborales</w:t>
      </w:r>
      <w:r>
        <w:rPr>
          <w:spacing w:val="-6"/>
          <w:sz w:val="24"/>
        </w:rPr>
        <w:t> </w:t>
      </w:r>
      <w:r>
        <w:rPr>
          <w:sz w:val="24"/>
        </w:rPr>
        <w:t>(LPRL).</w:t>
      </w:r>
    </w:p>
    <w:p>
      <w:pPr>
        <w:pStyle w:val="ListParagraph"/>
        <w:numPr>
          <w:ilvl w:val="0"/>
          <w:numId w:val="4"/>
        </w:numPr>
        <w:tabs>
          <w:tab w:pos="1270" w:val="left" w:leader="none"/>
        </w:tabs>
        <w:spacing w:line="264" w:lineRule="auto" w:before="28" w:after="0"/>
        <w:ind w:left="1282" w:right="827" w:hanging="360"/>
        <w:jc w:val="both"/>
        <w:rPr>
          <w:sz w:val="24"/>
        </w:rPr>
      </w:pPr>
      <w:r>
        <w:rPr>
          <w:sz w:val="24"/>
        </w:rPr>
        <w:t>Real Decreto 39/1997, de 17 de enero, por el que se aprueba el Reglamento de los Servicios de Prevención</w:t>
      </w:r>
      <w:r>
        <w:rPr>
          <w:spacing w:val="-1"/>
          <w:sz w:val="24"/>
        </w:rPr>
        <w:t> </w:t>
      </w:r>
      <w:r>
        <w:rPr>
          <w:sz w:val="24"/>
        </w:rPr>
        <w:t>(RSP).</w:t>
      </w:r>
    </w:p>
    <w:p>
      <w:pPr>
        <w:pStyle w:val="ListParagraph"/>
        <w:numPr>
          <w:ilvl w:val="0"/>
          <w:numId w:val="4"/>
        </w:numPr>
        <w:tabs>
          <w:tab w:pos="1270" w:val="left" w:leader="none"/>
        </w:tabs>
        <w:spacing w:line="264" w:lineRule="auto" w:before="15" w:after="0"/>
        <w:ind w:left="1282" w:right="750" w:hanging="360"/>
        <w:jc w:val="both"/>
        <w:rPr>
          <w:sz w:val="24"/>
        </w:rPr>
      </w:pPr>
      <w:r>
        <w:rPr>
          <w:sz w:val="24"/>
        </w:rPr>
        <w:t>Real Decreto 1627/1997, de 24 de octubre, por el que se establecen las disposi- ciones mínimas de seguridad y salud en las obras de</w:t>
      </w:r>
      <w:r>
        <w:rPr>
          <w:spacing w:val="-5"/>
          <w:sz w:val="24"/>
        </w:rPr>
        <w:t> </w:t>
      </w:r>
      <w:r>
        <w:rPr>
          <w:sz w:val="24"/>
        </w:rPr>
        <w:t>construcción.</w:t>
      </w:r>
    </w:p>
    <w:p>
      <w:pPr>
        <w:pStyle w:val="ListParagraph"/>
        <w:numPr>
          <w:ilvl w:val="0"/>
          <w:numId w:val="4"/>
        </w:numPr>
        <w:tabs>
          <w:tab w:pos="1270" w:val="left" w:leader="none"/>
        </w:tabs>
        <w:spacing w:line="268" w:lineRule="auto" w:before="13" w:after="0"/>
        <w:ind w:left="1282" w:right="646" w:hanging="360"/>
        <w:jc w:val="both"/>
        <w:rPr>
          <w:sz w:val="24"/>
        </w:rPr>
      </w:pPr>
      <w:r>
        <w:rPr>
          <w:sz w:val="24"/>
        </w:rPr>
        <w:t>Ley 54/2003, de 12 de diciembre, de reforma del marco normativo de la preven- ción, que refuerza la integración de la actividad preventiva en el sistema de ges- tión de la</w:t>
      </w:r>
      <w:r>
        <w:rPr>
          <w:spacing w:val="-2"/>
          <w:sz w:val="24"/>
        </w:rPr>
        <w:t> </w:t>
      </w:r>
      <w:r>
        <w:rPr>
          <w:sz w:val="24"/>
        </w:rPr>
        <w:t>empresa.</w:t>
      </w:r>
    </w:p>
    <w:p>
      <w:pPr>
        <w:pStyle w:val="ListParagraph"/>
        <w:numPr>
          <w:ilvl w:val="0"/>
          <w:numId w:val="4"/>
        </w:numPr>
        <w:tabs>
          <w:tab w:pos="1270" w:val="left" w:leader="none"/>
        </w:tabs>
        <w:spacing w:line="264" w:lineRule="auto" w:before="11" w:after="0"/>
        <w:ind w:left="1282" w:right="752" w:hanging="360"/>
        <w:jc w:val="both"/>
        <w:rPr>
          <w:sz w:val="24"/>
        </w:rPr>
      </w:pPr>
      <w:r>
        <w:rPr>
          <w:sz w:val="24"/>
        </w:rPr>
        <w:t>Real Decreto 485/1997, de 14 de abril, sobre disposiciones mínimas en materia de señalización de seguridad y salud en el</w:t>
      </w:r>
      <w:r>
        <w:rPr>
          <w:spacing w:val="-3"/>
          <w:sz w:val="24"/>
        </w:rPr>
        <w:t> </w:t>
      </w:r>
      <w:r>
        <w:rPr>
          <w:sz w:val="24"/>
        </w:rPr>
        <w:t>trabajo.</w:t>
      </w:r>
    </w:p>
    <w:p>
      <w:pPr>
        <w:pStyle w:val="ListParagraph"/>
        <w:numPr>
          <w:ilvl w:val="0"/>
          <w:numId w:val="4"/>
        </w:numPr>
        <w:tabs>
          <w:tab w:pos="1270" w:val="left" w:leader="none"/>
        </w:tabs>
        <w:spacing w:line="264" w:lineRule="auto" w:before="13" w:after="0"/>
        <w:ind w:left="1282" w:right="562" w:hanging="360"/>
        <w:jc w:val="both"/>
        <w:rPr>
          <w:sz w:val="24"/>
        </w:rPr>
      </w:pPr>
      <w:r>
        <w:rPr>
          <w:sz w:val="24"/>
        </w:rPr>
        <w:t>Real Decreto 486/1997, de 14 de abril, por el que se establecen las condiciones mínimas de seguridad y salud en los lugares de</w:t>
      </w:r>
      <w:r>
        <w:rPr>
          <w:spacing w:val="-6"/>
          <w:sz w:val="24"/>
        </w:rPr>
        <w:t> </w:t>
      </w:r>
      <w:r>
        <w:rPr>
          <w:sz w:val="24"/>
        </w:rPr>
        <w:t>trabajo.</w:t>
      </w:r>
    </w:p>
    <w:p>
      <w:pPr>
        <w:pStyle w:val="ListParagraph"/>
        <w:numPr>
          <w:ilvl w:val="0"/>
          <w:numId w:val="4"/>
        </w:numPr>
        <w:tabs>
          <w:tab w:pos="1270" w:val="left" w:leader="none"/>
        </w:tabs>
        <w:spacing w:line="264" w:lineRule="auto" w:before="13" w:after="0"/>
        <w:ind w:left="1282" w:right="771" w:hanging="360"/>
        <w:jc w:val="both"/>
        <w:rPr>
          <w:sz w:val="24"/>
        </w:rPr>
      </w:pPr>
      <w:r>
        <w:rPr>
          <w:sz w:val="24"/>
        </w:rPr>
        <w:t>Real Decreto 773/1997, de 30 de mayo, sobre utilización de equipos de protec- ción individual</w:t>
      </w:r>
      <w:r>
        <w:rPr>
          <w:spacing w:val="-1"/>
          <w:sz w:val="24"/>
        </w:rPr>
        <w:t> </w:t>
      </w:r>
      <w:r>
        <w:rPr>
          <w:sz w:val="24"/>
        </w:rPr>
        <w:t>(EPI).</w:t>
      </w:r>
    </w:p>
    <w:p>
      <w:pPr>
        <w:pStyle w:val="ListParagraph"/>
        <w:numPr>
          <w:ilvl w:val="0"/>
          <w:numId w:val="4"/>
        </w:numPr>
        <w:tabs>
          <w:tab w:pos="1270" w:val="left" w:leader="none"/>
        </w:tabs>
        <w:spacing w:line="268" w:lineRule="auto" w:before="15" w:after="0"/>
        <w:ind w:left="1282" w:right="738" w:hanging="360"/>
        <w:jc w:val="both"/>
        <w:rPr>
          <w:sz w:val="24"/>
        </w:rPr>
      </w:pPr>
      <w:r>
        <w:rPr>
          <w:sz w:val="24"/>
        </w:rPr>
        <w:t>Real Decreto 1215/1997, de 18 de julio, por el que se establecen las disposicio- nes mínimas de seguridad y salud para la utilización por los trabajadores de los equipos de</w:t>
      </w:r>
      <w:r>
        <w:rPr>
          <w:spacing w:val="-2"/>
          <w:sz w:val="24"/>
        </w:rPr>
        <w:t> </w:t>
      </w:r>
      <w:r>
        <w:rPr>
          <w:sz w:val="24"/>
        </w:rPr>
        <w:t>trabajo.</w:t>
      </w:r>
    </w:p>
    <w:p>
      <w:pPr>
        <w:pStyle w:val="ListParagraph"/>
        <w:numPr>
          <w:ilvl w:val="0"/>
          <w:numId w:val="4"/>
        </w:numPr>
        <w:tabs>
          <w:tab w:pos="1270" w:val="left" w:leader="none"/>
        </w:tabs>
        <w:spacing w:line="264" w:lineRule="auto" w:before="9" w:after="0"/>
        <w:ind w:left="1282" w:right="742" w:hanging="360"/>
        <w:jc w:val="both"/>
        <w:rPr>
          <w:sz w:val="24"/>
        </w:rPr>
      </w:pPr>
      <w:r>
        <w:rPr>
          <w:sz w:val="24"/>
        </w:rPr>
        <w:t>Real Decreto 614/2001, sobre protección de la salud y seguridad de los</w:t>
      </w:r>
      <w:r>
        <w:rPr>
          <w:spacing w:val="-17"/>
          <w:sz w:val="24"/>
        </w:rPr>
        <w:t> </w:t>
      </w:r>
      <w:r>
        <w:rPr>
          <w:sz w:val="24"/>
        </w:rPr>
        <w:t>trabaja- dores contra riesgos relacionados con la</w:t>
      </w:r>
      <w:r>
        <w:rPr>
          <w:spacing w:val="-4"/>
          <w:sz w:val="24"/>
        </w:rPr>
        <w:t> </w:t>
      </w:r>
      <w:r>
        <w:rPr>
          <w:sz w:val="24"/>
        </w:rPr>
        <w:t>electricidad.</w:t>
      </w:r>
    </w:p>
    <w:p>
      <w:pPr>
        <w:pStyle w:val="BodyText"/>
        <w:spacing w:before="9"/>
        <w:rPr>
          <w:sz w:val="28"/>
        </w:rPr>
      </w:pPr>
    </w:p>
    <w:p>
      <w:pPr>
        <w:pStyle w:val="BodyText"/>
        <w:spacing w:before="1"/>
        <w:ind w:left="921"/>
      </w:pPr>
      <w:r>
        <w:rPr>
          <w:u w:val="single"/>
        </w:rPr>
        <w:t>Normativa técnica</w:t>
      </w:r>
    </w:p>
    <w:p>
      <w:pPr>
        <w:pStyle w:val="ListParagraph"/>
        <w:numPr>
          <w:ilvl w:val="0"/>
          <w:numId w:val="4"/>
        </w:numPr>
        <w:tabs>
          <w:tab w:pos="1269" w:val="left" w:leader="none"/>
          <w:tab w:pos="1270" w:val="left" w:leader="none"/>
        </w:tabs>
        <w:spacing w:line="240" w:lineRule="auto" w:before="41" w:after="0"/>
        <w:ind w:left="1270" w:right="0" w:hanging="349"/>
        <w:jc w:val="left"/>
        <w:rPr>
          <w:sz w:val="24"/>
        </w:rPr>
      </w:pPr>
      <w:r>
        <w:rPr>
          <w:sz w:val="24"/>
        </w:rPr>
        <w:t>Real Decreto 842/2002. Reglamento Electrotécnico para Baja Tensión</w:t>
      </w:r>
      <w:r>
        <w:rPr>
          <w:spacing w:val="-4"/>
          <w:sz w:val="24"/>
        </w:rPr>
        <w:t> </w:t>
      </w:r>
      <w:r>
        <w:rPr>
          <w:sz w:val="24"/>
        </w:rPr>
        <w:t>(REBT).</w:t>
      </w:r>
    </w:p>
    <w:p>
      <w:pPr>
        <w:pStyle w:val="ListParagraph"/>
        <w:numPr>
          <w:ilvl w:val="0"/>
          <w:numId w:val="4"/>
        </w:numPr>
        <w:tabs>
          <w:tab w:pos="1269" w:val="left" w:leader="none"/>
          <w:tab w:pos="1270" w:val="left" w:leader="none"/>
        </w:tabs>
        <w:spacing w:line="240" w:lineRule="auto" w:before="28" w:after="0"/>
        <w:ind w:left="1270" w:right="0" w:hanging="349"/>
        <w:jc w:val="left"/>
        <w:rPr>
          <w:sz w:val="24"/>
        </w:rPr>
      </w:pPr>
      <w:r>
        <w:rPr>
          <w:sz w:val="24"/>
        </w:rPr>
        <w:t>Código Técnico de la Edificación (CTE),</w:t>
      </w:r>
      <w:r>
        <w:rPr>
          <w:spacing w:val="-3"/>
          <w:sz w:val="24"/>
        </w:rPr>
        <w:t> </w:t>
      </w:r>
      <w:r>
        <w:rPr>
          <w:sz w:val="24"/>
        </w:rPr>
        <w:t>DB-SUA.</w:t>
      </w:r>
    </w:p>
    <w:p>
      <w:pPr>
        <w:pStyle w:val="ListParagraph"/>
        <w:numPr>
          <w:ilvl w:val="0"/>
          <w:numId w:val="4"/>
        </w:numPr>
        <w:tabs>
          <w:tab w:pos="1269" w:val="left" w:leader="none"/>
          <w:tab w:pos="1270" w:val="left" w:leader="none"/>
        </w:tabs>
        <w:spacing w:line="240" w:lineRule="auto" w:before="29" w:after="0"/>
        <w:ind w:left="1270" w:right="0" w:hanging="349"/>
        <w:jc w:val="left"/>
        <w:rPr>
          <w:sz w:val="24"/>
        </w:rPr>
      </w:pPr>
      <w:r>
        <w:rPr>
          <w:sz w:val="24"/>
        </w:rPr>
        <w:t>Código Técnico de la Edificación (CTE),</w:t>
      </w:r>
      <w:r>
        <w:rPr>
          <w:spacing w:val="-3"/>
          <w:sz w:val="24"/>
        </w:rPr>
        <w:t> </w:t>
      </w:r>
      <w:r>
        <w:rPr>
          <w:sz w:val="24"/>
        </w:rPr>
        <w:t>DB-SI.</w:t>
      </w:r>
    </w:p>
    <w:p>
      <w:pPr>
        <w:pStyle w:val="ListParagraph"/>
        <w:numPr>
          <w:ilvl w:val="0"/>
          <w:numId w:val="4"/>
        </w:numPr>
        <w:tabs>
          <w:tab w:pos="1269" w:val="left" w:leader="none"/>
          <w:tab w:pos="1270" w:val="left" w:leader="none"/>
        </w:tabs>
        <w:spacing w:line="264" w:lineRule="auto" w:before="29" w:after="0"/>
        <w:ind w:left="1282" w:right="558" w:hanging="360"/>
        <w:jc w:val="left"/>
        <w:rPr>
          <w:sz w:val="24"/>
        </w:rPr>
      </w:pPr>
      <w:r>
        <w:rPr>
          <w:sz w:val="24"/>
        </w:rPr>
        <w:t>Real Decreto 513/2017. Reglamento de Instalaciones de Protección Contra Incendios</w:t>
      </w:r>
      <w:r>
        <w:rPr>
          <w:spacing w:val="-1"/>
          <w:sz w:val="24"/>
        </w:rPr>
        <w:t> </w:t>
      </w:r>
      <w:r>
        <w:rPr>
          <w:sz w:val="24"/>
        </w:rPr>
        <w:t>(RIPCI).</w:t>
      </w:r>
    </w:p>
    <w:p>
      <w:pPr>
        <w:pStyle w:val="ListParagraph"/>
        <w:numPr>
          <w:ilvl w:val="0"/>
          <w:numId w:val="4"/>
        </w:numPr>
        <w:tabs>
          <w:tab w:pos="1270" w:val="left" w:leader="none"/>
        </w:tabs>
        <w:spacing w:line="264" w:lineRule="auto" w:before="15" w:after="0"/>
        <w:ind w:left="1282" w:right="563" w:hanging="360"/>
        <w:jc w:val="both"/>
        <w:rPr>
          <w:sz w:val="24"/>
        </w:rPr>
      </w:pPr>
      <w:r>
        <w:rPr>
          <w:sz w:val="24"/>
        </w:rPr>
        <w:t>Reglamento de Instalaciones Térmicas en los Edificios (RITE), RD 1027/2007 y RD</w:t>
      </w:r>
      <w:r>
        <w:rPr>
          <w:spacing w:val="-1"/>
          <w:sz w:val="24"/>
        </w:rPr>
        <w:t> </w:t>
      </w:r>
      <w:r>
        <w:rPr>
          <w:sz w:val="24"/>
        </w:rPr>
        <w:t>178/2021.</w:t>
      </w:r>
    </w:p>
    <w:p>
      <w:pPr>
        <w:pStyle w:val="ListParagraph"/>
        <w:numPr>
          <w:ilvl w:val="0"/>
          <w:numId w:val="4"/>
        </w:numPr>
        <w:tabs>
          <w:tab w:pos="1269" w:val="left" w:leader="none"/>
          <w:tab w:pos="1270" w:val="left" w:leader="none"/>
        </w:tabs>
        <w:spacing w:line="240" w:lineRule="auto" w:before="12" w:after="0"/>
        <w:ind w:left="1270" w:right="0" w:hanging="349"/>
        <w:jc w:val="left"/>
        <w:rPr>
          <w:sz w:val="24"/>
        </w:rPr>
      </w:pPr>
      <w:r>
        <w:rPr>
          <w:sz w:val="24"/>
        </w:rPr>
        <w:t>Código Técnico de la Edificación (CTE),</w:t>
      </w:r>
      <w:r>
        <w:rPr>
          <w:spacing w:val="-3"/>
          <w:sz w:val="24"/>
        </w:rPr>
        <w:t> </w:t>
      </w:r>
      <w:r>
        <w:rPr>
          <w:sz w:val="24"/>
        </w:rPr>
        <w:t>DB-HE.</w:t>
      </w:r>
    </w:p>
    <w:p>
      <w:pPr>
        <w:spacing w:after="0" w:line="240" w:lineRule="auto"/>
        <w:jc w:val="left"/>
        <w:rPr>
          <w:sz w:val="24"/>
        </w:rPr>
        <w:sectPr>
          <w:pgSz w:w="11910" w:h="16840"/>
          <w:pgMar w:header="262" w:footer="0" w:top="1660" w:bottom="280" w:left="1140" w:right="1140"/>
        </w:sectPr>
      </w:pPr>
    </w:p>
    <w:p>
      <w:pPr>
        <w:pStyle w:val="BodyText"/>
        <w:spacing w:before="9"/>
        <w:rPr>
          <w:sz w:val="28"/>
        </w:rPr>
      </w:pPr>
    </w:p>
    <w:p>
      <w:pPr>
        <w:pStyle w:val="Heading1"/>
        <w:numPr>
          <w:ilvl w:val="1"/>
          <w:numId w:val="1"/>
        </w:numPr>
        <w:tabs>
          <w:tab w:pos="1270" w:val="left" w:leader="none"/>
        </w:tabs>
        <w:spacing w:line="240" w:lineRule="auto" w:before="90" w:after="0"/>
        <w:ind w:left="1270" w:right="0" w:hanging="349"/>
        <w:jc w:val="left"/>
      </w:pPr>
      <w:bookmarkStart w:name="_bookmark3" w:id="7"/>
      <w:bookmarkEnd w:id="7"/>
      <w:r>
        <w:rPr>
          <w:b w:val="0"/>
        </w:rPr>
      </w:r>
      <w:bookmarkStart w:name="_bookmark3" w:id="8"/>
      <w:bookmarkEnd w:id="8"/>
      <w:r>
        <w:rPr/>
        <w:t>G</w:t>
      </w:r>
      <w:r>
        <w:rPr/>
        <w:t>ESTIÓN</w:t>
      </w:r>
      <w:r>
        <w:rPr>
          <w:spacing w:val="-1"/>
        </w:rPr>
        <w:t> </w:t>
      </w:r>
      <w:r>
        <w:rPr>
          <w:spacing w:val="-3"/>
        </w:rPr>
        <w:t>DOCUMENTAL</w:t>
      </w:r>
    </w:p>
    <w:p>
      <w:pPr>
        <w:pStyle w:val="BodyText"/>
        <w:spacing w:before="3" w:after="1"/>
        <w:rPr>
          <w:b/>
          <w:sz w:val="11"/>
        </w:rPr>
      </w:pPr>
    </w:p>
    <w:tbl>
      <w:tblPr>
        <w:tblW w:w="0" w:type="auto"/>
        <w:jc w:val="left"/>
        <w:tblInd w:w="59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931"/>
        <w:gridCol w:w="3546"/>
      </w:tblGrid>
      <w:tr>
        <w:trPr>
          <w:trHeight w:val="277" w:hRule="atLeast"/>
        </w:trPr>
        <w:tc>
          <w:tcPr>
            <w:tcW w:w="4931" w:type="dxa"/>
          </w:tcPr>
          <w:p>
            <w:pPr>
              <w:pStyle w:val="TableParagraph"/>
              <w:spacing w:line="256" w:lineRule="exact" w:before="1"/>
              <w:ind w:left="1665" w:right="1662"/>
              <w:jc w:val="center"/>
              <w:rPr>
                <w:sz w:val="24"/>
              </w:rPr>
            </w:pPr>
            <w:r>
              <w:rPr>
                <w:sz w:val="24"/>
              </w:rPr>
              <w:t>DOCUMENTO</w:t>
            </w:r>
          </w:p>
        </w:tc>
        <w:tc>
          <w:tcPr>
            <w:tcW w:w="3546" w:type="dxa"/>
          </w:tcPr>
          <w:p>
            <w:pPr>
              <w:pStyle w:val="TableParagraph"/>
              <w:spacing w:line="256" w:lineRule="exact" w:before="1"/>
              <w:ind w:left="594"/>
              <w:rPr>
                <w:sz w:val="24"/>
              </w:rPr>
            </w:pPr>
            <w:r>
              <w:rPr>
                <w:sz w:val="24"/>
              </w:rPr>
              <w:t>PLAZO DE ENTREGA</w:t>
            </w:r>
          </w:p>
        </w:tc>
      </w:tr>
      <w:tr>
        <w:trPr>
          <w:trHeight w:val="274" w:hRule="atLeast"/>
        </w:trPr>
        <w:tc>
          <w:tcPr>
            <w:tcW w:w="8477" w:type="dxa"/>
            <w:gridSpan w:val="2"/>
          </w:tcPr>
          <w:p>
            <w:pPr>
              <w:pStyle w:val="TableParagraph"/>
              <w:spacing w:line="255" w:lineRule="exact"/>
              <w:ind w:left="2344" w:right="2341"/>
              <w:jc w:val="center"/>
              <w:rPr>
                <w:b/>
                <w:sz w:val="24"/>
              </w:rPr>
            </w:pPr>
            <w:r>
              <w:rPr>
                <w:b/>
                <w:sz w:val="24"/>
              </w:rPr>
              <w:t>FASE I: INICIO DEL CONTRATO</w:t>
            </w:r>
          </w:p>
        </w:tc>
      </w:tr>
      <w:tr>
        <w:trPr>
          <w:trHeight w:val="2485" w:hRule="atLeast"/>
        </w:trPr>
        <w:tc>
          <w:tcPr>
            <w:tcW w:w="4931" w:type="dxa"/>
          </w:tcPr>
          <w:p>
            <w:pPr>
              <w:pStyle w:val="TableParagraph"/>
              <w:spacing w:before="1"/>
              <w:ind w:left="97"/>
              <w:rPr>
                <w:b/>
                <w:sz w:val="24"/>
              </w:rPr>
            </w:pPr>
            <w:r>
              <w:rPr>
                <w:b/>
                <w:sz w:val="24"/>
                <w:u w:val="thick"/>
              </w:rPr>
              <w:t>Plan de trabajo.</w:t>
            </w:r>
          </w:p>
          <w:p>
            <w:pPr>
              <w:pStyle w:val="TableParagraph"/>
              <w:ind w:left="97" w:right="59"/>
              <w:rPr>
                <w:sz w:val="24"/>
              </w:rPr>
            </w:pPr>
            <w:r>
              <w:rPr>
                <w:sz w:val="24"/>
              </w:rPr>
              <w:t>La empresa adjudicataria deberá presentar un plan de trabajo antes del comienzo de la obra.</w:t>
            </w:r>
          </w:p>
          <w:p>
            <w:pPr>
              <w:pStyle w:val="TableParagraph"/>
              <w:rPr>
                <w:b/>
                <w:sz w:val="24"/>
              </w:rPr>
            </w:pPr>
          </w:p>
          <w:p>
            <w:pPr>
              <w:pStyle w:val="TableParagraph"/>
              <w:ind w:left="97"/>
              <w:rPr>
                <w:sz w:val="24"/>
              </w:rPr>
            </w:pPr>
            <w:r>
              <w:rPr>
                <w:sz w:val="24"/>
              </w:rPr>
              <w:t>El Plan deberá ajustarse a las necesidades del contrato y no podrá ser un documento genérico.</w:t>
            </w:r>
          </w:p>
          <w:p>
            <w:pPr>
              <w:pStyle w:val="TableParagraph"/>
              <w:rPr>
                <w:b/>
                <w:sz w:val="24"/>
              </w:rPr>
            </w:pPr>
          </w:p>
          <w:p>
            <w:pPr>
              <w:pStyle w:val="TableParagraph"/>
              <w:spacing w:line="270" w:lineRule="atLeast"/>
              <w:ind w:left="97"/>
              <w:rPr>
                <w:sz w:val="24"/>
              </w:rPr>
            </w:pPr>
            <w:r>
              <w:rPr>
                <w:sz w:val="24"/>
              </w:rPr>
              <w:t>Se modificará cuando sea necesario y deberá ser nuevamente aprobado.</w:t>
            </w:r>
          </w:p>
        </w:tc>
        <w:tc>
          <w:tcPr>
            <w:tcW w:w="3546" w:type="dxa"/>
          </w:tcPr>
          <w:p>
            <w:pPr>
              <w:pStyle w:val="TableParagraph"/>
              <w:rPr>
                <w:b/>
                <w:sz w:val="26"/>
              </w:rPr>
            </w:pPr>
          </w:p>
          <w:p>
            <w:pPr>
              <w:pStyle w:val="TableParagraph"/>
              <w:rPr>
                <w:b/>
                <w:sz w:val="26"/>
              </w:rPr>
            </w:pPr>
          </w:p>
          <w:p>
            <w:pPr>
              <w:pStyle w:val="TableParagraph"/>
              <w:spacing w:before="11"/>
              <w:rPr>
                <w:b/>
                <w:sz w:val="31"/>
              </w:rPr>
            </w:pPr>
          </w:p>
          <w:p>
            <w:pPr>
              <w:pStyle w:val="TableParagraph"/>
              <w:tabs>
                <w:tab w:pos="569" w:val="left" w:leader="none"/>
                <w:tab w:pos="1311" w:val="left" w:leader="none"/>
                <w:tab w:pos="2344" w:val="left" w:leader="none"/>
                <w:tab w:pos="3246" w:val="left" w:leader="none"/>
              </w:tabs>
              <w:ind w:left="94" w:right="91"/>
              <w:rPr>
                <w:sz w:val="24"/>
              </w:rPr>
            </w:pPr>
            <w:r>
              <w:rPr>
                <w:sz w:val="24"/>
              </w:rPr>
              <w:t>5</w:t>
              <w:tab/>
              <w:t>días</w:t>
              <w:tab/>
              <w:t>hábiles</w:t>
              <w:tab/>
              <w:t>desde</w:t>
              <w:tab/>
            </w:r>
            <w:r>
              <w:rPr>
                <w:spacing w:val="-8"/>
                <w:sz w:val="24"/>
              </w:rPr>
              <w:t>la </w:t>
            </w:r>
            <w:r>
              <w:rPr>
                <w:sz w:val="24"/>
              </w:rPr>
              <w:t>formalización del</w:t>
            </w:r>
            <w:r>
              <w:rPr>
                <w:spacing w:val="-1"/>
                <w:sz w:val="24"/>
              </w:rPr>
              <w:t> </w:t>
            </w:r>
            <w:r>
              <w:rPr>
                <w:sz w:val="24"/>
              </w:rPr>
              <w:t>contrato</w:t>
            </w:r>
          </w:p>
        </w:tc>
      </w:tr>
      <w:tr>
        <w:trPr>
          <w:trHeight w:val="274" w:hRule="atLeast"/>
        </w:trPr>
        <w:tc>
          <w:tcPr>
            <w:tcW w:w="8477" w:type="dxa"/>
            <w:gridSpan w:val="2"/>
          </w:tcPr>
          <w:p>
            <w:pPr>
              <w:pStyle w:val="TableParagraph"/>
              <w:spacing w:line="255" w:lineRule="exact"/>
              <w:ind w:left="193"/>
              <w:rPr>
                <w:b/>
                <w:sz w:val="24"/>
              </w:rPr>
            </w:pPr>
            <w:r>
              <w:rPr>
                <w:b/>
                <w:sz w:val="24"/>
              </w:rPr>
              <w:t>FASE II: FINALIZACIÓN DEL CONTRATO (junto con la acta de recepción)</w:t>
            </w:r>
          </w:p>
        </w:tc>
      </w:tr>
      <w:tr>
        <w:trPr>
          <w:trHeight w:val="2485" w:hRule="atLeast"/>
        </w:trPr>
        <w:tc>
          <w:tcPr>
            <w:tcW w:w="4931" w:type="dxa"/>
          </w:tcPr>
          <w:p>
            <w:pPr>
              <w:pStyle w:val="TableParagraph"/>
              <w:rPr>
                <w:b/>
                <w:sz w:val="26"/>
              </w:rPr>
            </w:pPr>
          </w:p>
          <w:p>
            <w:pPr>
              <w:pStyle w:val="TableParagraph"/>
              <w:rPr>
                <w:b/>
                <w:sz w:val="26"/>
              </w:rPr>
            </w:pPr>
          </w:p>
          <w:p>
            <w:pPr>
              <w:pStyle w:val="TableParagraph"/>
              <w:rPr>
                <w:b/>
                <w:sz w:val="26"/>
              </w:rPr>
            </w:pPr>
          </w:p>
          <w:p>
            <w:pPr>
              <w:pStyle w:val="TableParagraph"/>
              <w:spacing w:before="208"/>
              <w:ind w:left="97"/>
              <w:rPr>
                <w:b/>
                <w:sz w:val="24"/>
              </w:rPr>
            </w:pPr>
            <w:r>
              <w:rPr>
                <w:b/>
                <w:sz w:val="24"/>
                <w:u w:val="thick"/>
              </w:rPr>
              <w:t>Documentación final</w:t>
            </w:r>
          </w:p>
        </w:tc>
        <w:tc>
          <w:tcPr>
            <w:tcW w:w="3546" w:type="dxa"/>
          </w:tcPr>
          <w:p>
            <w:pPr>
              <w:pStyle w:val="TableParagraph"/>
              <w:numPr>
                <w:ilvl w:val="0"/>
                <w:numId w:val="5"/>
              </w:numPr>
              <w:tabs>
                <w:tab w:pos="302" w:val="left" w:leader="none"/>
              </w:tabs>
              <w:spacing w:line="240" w:lineRule="auto" w:before="1" w:after="0"/>
              <w:ind w:left="94" w:right="89" w:firstLine="0"/>
              <w:jc w:val="both"/>
              <w:rPr>
                <w:sz w:val="24"/>
              </w:rPr>
            </w:pPr>
            <w:r>
              <w:rPr>
                <w:sz w:val="24"/>
              </w:rPr>
              <w:t>Certificados de conformidad </w:t>
            </w:r>
            <w:r>
              <w:rPr>
                <w:spacing w:val="-14"/>
                <w:sz w:val="24"/>
              </w:rPr>
              <w:t>y </w:t>
            </w:r>
            <w:r>
              <w:rPr>
                <w:sz w:val="24"/>
              </w:rPr>
              <w:t>cumplimiento</w:t>
            </w:r>
            <w:r>
              <w:rPr>
                <w:spacing w:val="-1"/>
                <w:sz w:val="24"/>
              </w:rPr>
              <w:t> </w:t>
            </w:r>
            <w:r>
              <w:rPr>
                <w:sz w:val="24"/>
              </w:rPr>
              <w:t>normativo.</w:t>
            </w:r>
          </w:p>
          <w:p>
            <w:pPr>
              <w:pStyle w:val="TableParagraph"/>
              <w:numPr>
                <w:ilvl w:val="0"/>
                <w:numId w:val="5"/>
              </w:numPr>
              <w:tabs>
                <w:tab w:pos="431" w:val="left" w:leader="none"/>
              </w:tabs>
              <w:spacing w:line="240" w:lineRule="auto" w:before="0" w:after="0"/>
              <w:ind w:left="94" w:right="91" w:firstLine="0"/>
              <w:jc w:val="both"/>
              <w:rPr>
                <w:sz w:val="24"/>
              </w:rPr>
            </w:pPr>
            <w:r>
              <w:rPr>
                <w:sz w:val="24"/>
              </w:rPr>
              <w:t>Manuales de operación </w:t>
            </w:r>
            <w:r>
              <w:rPr>
                <w:spacing w:val="-14"/>
                <w:sz w:val="24"/>
              </w:rPr>
              <w:t>y </w:t>
            </w:r>
            <w:r>
              <w:rPr>
                <w:sz w:val="24"/>
              </w:rPr>
              <w:t>mantenimiento de los </w:t>
            </w:r>
            <w:r>
              <w:rPr>
                <w:spacing w:val="-3"/>
                <w:sz w:val="24"/>
              </w:rPr>
              <w:t>equipos </w:t>
            </w:r>
            <w:r>
              <w:rPr>
                <w:sz w:val="24"/>
              </w:rPr>
              <w:t>instalados.</w:t>
            </w:r>
          </w:p>
          <w:p>
            <w:pPr>
              <w:pStyle w:val="TableParagraph"/>
              <w:numPr>
                <w:ilvl w:val="0"/>
                <w:numId w:val="5"/>
              </w:numPr>
              <w:tabs>
                <w:tab w:pos="431" w:val="left" w:leader="none"/>
              </w:tabs>
              <w:spacing w:line="240" w:lineRule="auto" w:before="0" w:after="0"/>
              <w:ind w:left="94" w:right="88" w:firstLine="0"/>
              <w:jc w:val="both"/>
              <w:rPr>
                <w:sz w:val="24"/>
              </w:rPr>
            </w:pPr>
            <w:r>
              <w:rPr>
                <w:sz w:val="24"/>
              </w:rPr>
              <w:t>Planos actualizados de </w:t>
            </w:r>
            <w:r>
              <w:rPr>
                <w:spacing w:val="-7"/>
                <w:sz w:val="24"/>
              </w:rPr>
              <w:t>la </w:t>
            </w:r>
            <w:r>
              <w:rPr>
                <w:sz w:val="24"/>
              </w:rPr>
              <w:t>instalación.</w:t>
            </w:r>
          </w:p>
          <w:p>
            <w:pPr>
              <w:pStyle w:val="TableParagraph"/>
              <w:numPr>
                <w:ilvl w:val="0"/>
                <w:numId w:val="5"/>
              </w:numPr>
              <w:tabs>
                <w:tab w:pos="266" w:val="left" w:leader="none"/>
              </w:tabs>
              <w:spacing w:line="276" w:lineRule="exact" w:before="3" w:after="0"/>
              <w:ind w:left="94" w:right="92" w:firstLine="0"/>
              <w:jc w:val="both"/>
              <w:rPr>
                <w:sz w:val="24"/>
              </w:rPr>
            </w:pPr>
            <w:r>
              <w:rPr>
                <w:sz w:val="24"/>
              </w:rPr>
              <w:t>Informe de pruebas y puesta </w:t>
            </w:r>
            <w:r>
              <w:rPr>
                <w:spacing w:val="-7"/>
                <w:sz w:val="24"/>
              </w:rPr>
              <w:t>en </w:t>
            </w:r>
            <w:r>
              <w:rPr>
                <w:sz w:val="24"/>
              </w:rPr>
              <w:t>marcha.</w:t>
            </w:r>
          </w:p>
        </w:tc>
      </w:tr>
    </w:tbl>
    <w:p>
      <w:pPr>
        <w:pStyle w:val="BodyText"/>
        <w:rPr>
          <w:b/>
          <w:sz w:val="26"/>
        </w:rPr>
      </w:pPr>
    </w:p>
    <w:p>
      <w:pPr>
        <w:pStyle w:val="BodyText"/>
        <w:spacing w:before="9"/>
        <w:rPr>
          <w:b/>
          <w:sz w:val="33"/>
        </w:rPr>
      </w:pPr>
    </w:p>
    <w:p>
      <w:pPr>
        <w:pStyle w:val="Heading1"/>
        <w:numPr>
          <w:ilvl w:val="1"/>
          <w:numId w:val="1"/>
        </w:numPr>
        <w:tabs>
          <w:tab w:pos="1270" w:val="left" w:leader="none"/>
        </w:tabs>
        <w:spacing w:line="240" w:lineRule="auto" w:before="0" w:after="0"/>
        <w:ind w:left="1270" w:right="0" w:hanging="349"/>
        <w:jc w:val="left"/>
      </w:pPr>
      <w:bookmarkStart w:name="_bookmark4" w:id="9"/>
      <w:bookmarkEnd w:id="9"/>
      <w:r>
        <w:rPr>
          <w:b w:val="0"/>
        </w:rPr>
      </w:r>
      <w:bookmarkStart w:name="_bookmark4" w:id="10"/>
      <w:bookmarkEnd w:id="10"/>
      <w:r>
        <w:rPr/>
        <w:t>P</w:t>
      </w:r>
      <w:r>
        <w:rPr/>
        <w:t>ROYECTO</w:t>
      </w:r>
    </w:p>
    <w:p>
      <w:pPr>
        <w:pStyle w:val="BodyText"/>
        <w:spacing w:before="120"/>
        <w:ind w:left="562"/>
        <w:jc w:val="both"/>
      </w:pPr>
      <w:r>
        <w:rPr/>
        <w:t>A  </w:t>
      </w:r>
      <w:r>
        <w:rPr>
          <w:spacing w:val="18"/>
        </w:rPr>
        <w:t> </w:t>
      </w:r>
      <w:r>
        <w:rPr/>
        <w:t>los  </w:t>
      </w:r>
      <w:r>
        <w:rPr>
          <w:spacing w:val="35"/>
        </w:rPr>
        <w:t> </w:t>
      </w:r>
      <w:r>
        <w:rPr/>
        <w:t>efectos  </w:t>
      </w:r>
      <w:r>
        <w:rPr>
          <w:spacing w:val="35"/>
        </w:rPr>
        <w:t> </w:t>
      </w:r>
      <w:r>
        <w:rPr/>
        <w:t>de  </w:t>
      </w:r>
      <w:r>
        <w:rPr>
          <w:spacing w:val="33"/>
        </w:rPr>
        <w:t> </w:t>
      </w:r>
      <w:r>
        <w:rPr/>
        <w:t>ejecución  </w:t>
      </w:r>
      <w:r>
        <w:rPr>
          <w:spacing w:val="34"/>
        </w:rPr>
        <w:t> </w:t>
      </w:r>
      <w:r>
        <w:rPr/>
        <w:t>de  </w:t>
      </w:r>
      <w:r>
        <w:rPr>
          <w:spacing w:val="33"/>
        </w:rPr>
        <w:t> </w:t>
      </w:r>
      <w:r>
        <w:rPr/>
        <w:t>la  </w:t>
      </w:r>
      <w:r>
        <w:rPr>
          <w:spacing w:val="34"/>
        </w:rPr>
        <w:t> </w:t>
      </w:r>
      <w:r>
        <w:rPr/>
        <w:t>presente  </w:t>
      </w:r>
      <w:r>
        <w:rPr>
          <w:spacing w:val="34"/>
        </w:rPr>
        <w:t> </w:t>
      </w:r>
      <w:r>
        <w:rPr/>
        <w:t>obra,  </w:t>
      </w:r>
      <w:r>
        <w:rPr>
          <w:spacing w:val="33"/>
        </w:rPr>
        <w:t> </w:t>
      </w:r>
      <w:r>
        <w:rPr/>
        <w:t>se  </w:t>
      </w:r>
      <w:r>
        <w:rPr>
          <w:spacing w:val="34"/>
        </w:rPr>
        <w:t> </w:t>
      </w:r>
      <w:r>
        <w:rPr/>
        <w:t>adjunta  </w:t>
      </w:r>
      <w:r>
        <w:rPr>
          <w:spacing w:val="33"/>
        </w:rPr>
        <w:t> </w:t>
      </w:r>
      <w:r>
        <w:rPr/>
        <w:t>proyecto  </w:t>
      </w:r>
      <w:r>
        <w:rPr>
          <w:spacing w:val="35"/>
        </w:rPr>
        <w:t> </w:t>
      </w:r>
      <w:r>
        <w:rPr/>
        <w:t>de</w:t>
      </w:r>
    </w:p>
    <w:p>
      <w:pPr>
        <w:spacing w:before="41"/>
        <w:ind w:left="562" w:right="0" w:firstLine="0"/>
        <w:jc w:val="both"/>
        <w:rPr>
          <w:b/>
          <w:sz w:val="24"/>
        </w:rPr>
      </w:pPr>
      <w:r>
        <w:rPr>
          <w:b/>
          <w:sz w:val="24"/>
        </w:rPr>
        <w:t>ACONDICIONAMIENTO        E        </w:t>
      </w:r>
      <w:r>
        <w:rPr>
          <w:b/>
          <w:spacing w:val="-3"/>
          <w:sz w:val="24"/>
        </w:rPr>
        <w:t>INSTALACIONES         </w:t>
      </w:r>
      <w:r>
        <w:rPr>
          <w:b/>
          <w:spacing w:val="-5"/>
          <w:sz w:val="24"/>
        </w:rPr>
        <w:t>PARA       </w:t>
      </w:r>
      <w:r>
        <w:rPr>
          <w:b/>
          <w:spacing w:val="1"/>
          <w:sz w:val="24"/>
        </w:rPr>
        <w:t> </w:t>
      </w:r>
      <w:r>
        <w:rPr>
          <w:b/>
          <w:sz w:val="24"/>
        </w:rPr>
        <w:t>CENTRO</w:t>
      </w:r>
    </w:p>
    <w:p>
      <w:pPr>
        <w:spacing w:line="276" w:lineRule="auto" w:before="41"/>
        <w:ind w:left="562" w:right="559" w:firstLine="0"/>
        <w:jc w:val="both"/>
        <w:rPr>
          <w:sz w:val="24"/>
        </w:rPr>
      </w:pPr>
      <w:r>
        <w:rPr>
          <w:b/>
          <w:spacing w:val="-2"/>
          <w:sz w:val="24"/>
        </w:rPr>
        <w:t>SOCIOCULTURAL </w:t>
      </w:r>
      <w:r>
        <w:rPr>
          <w:b/>
          <w:sz w:val="24"/>
        </w:rPr>
        <w:t>ACHIMENCEY DE LA ASOMADA </w:t>
      </w:r>
      <w:r>
        <w:rPr>
          <w:sz w:val="24"/>
        </w:rPr>
        <w:t>redactado por D. Aníbal Macías Duarte, que sirve de base para la ejecución de la totalidad de la obra del  presente pliego de</w:t>
      </w:r>
      <w:r>
        <w:rPr>
          <w:spacing w:val="-2"/>
          <w:sz w:val="24"/>
        </w:rPr>
        <w:t> </w:t>
      </w:r>
      <w:r>
        <w:rPr>
          <w:sz w:val="24"/>
        </w:rPr>
        <w:t>prescripciones.</w:t>
      </w:r>
    </w:p>
    <w:p>
      <w:pPr>
        <w:pStyle w:val="BodyText"/>
        <w:spacing w:before="4"/>
        <w:rPr>
          <w:sz w:val="31"/>
        </w:rPr>
      </w:pPr>
    </w:p>
    <w:p>
      <w:pPr>
        <w:pStyle w:val="Heading1"/>
        <w:numPr>
          <w:ilvl w:val="1"/>
          <w:numId w:val="1"/>
        </w:numPr>
        <w:tabs>
          <w:tab w:pos="1270" w:val="left" w:leader="none"/>
        </w:tabs>
        <w:spacing w:line="240" w:lineRule="auto" w:before="1" w:after="0"/>
        <w:ind w:left="1270" w:right="0" w:hanging="349"/>
        <w:jc w:val="left"/>
      </w:pPr>
      <w:bookmarkStart w:name="_bookmark5" w:id="11"/>
      <w:bookmarkEnd w:id="11"/>
      <w:r>
        <w:rPr>
          <w:b w:val="0"/>
        </w:rPr>
      </w:r>
      <w:bookmarkStart w:name="_bookmark5" w:id="12"/>
      <w:bookmarkEnd w:id="12"/>
      <w:r>
        <w:rPr/>
        <w:t>CARACT</w:t>
      </w:r>
      <w:r>
        <w:rPr/>
        <w:t>ERÍSTICAS </w:t>
      </w:r>
      <w:r>
        <w:rPr>
          <w:spacing w:val="-3"/>
        </w:rPr>
        <w:t>INSTALACIÓN, </w:t>
      </w:r>
      <w:r>
        <w:rPr/>
        <w:t>EQUIPOS Y</w:t>
      </w:r>
      <w:r>
        <w:rPr>
          <w:spacing w:val="-18"/>
        </w:rPr>
        <w:t> </w:t>
      </w:r>
      <w:r>
        <w:rPr>
          <w:spacing w:val="-3"/>
        </w:rPr>
        <w:t>MATERIALES</w:t>
      </w:r>
    </w:p>
    <w:p>
      <w:pPr>
        <w:pStyle w:val="BodyText"/>
        <w:spacing w:line="276" w:lineRule="auto" w:before="122"/>
        <w:ind w:left="562" w:right="559"/>
        <w:jc w:val="both"/>
      </w:pPr>
      <w:r>
        <w:rPr/>
        <w:t>El adjudicatario estará obligado a presentar, antes del inicio de los trabajos, la documentación técnica detallada relativa a los materiales, equipos, sistemas y procedimientos constructivos que se propongan emplear en la obra. Dicha documentación deberá incluir las especificaciones técnicas, fichas de producto, certificados de conformidad y manuales de instalación, garantizando que todos los elementos cumplen con las normas UNE, CE o reglamentación aplicable. Esta documentación será sometida a la revisión y aprobación de la dirección Facultativa, que podrán solicitar modificaciones o aclaraciones cuando se estime necesario para asegurar la conformidad con el proyecto y la normativa.</w:t>
      </w:r>
    </w:p>
    <w:p>
      <w:pPr>
        <w:spacing w:after="0" w:line="276" w:lineRule="auto"/>
        <w:jc w:val="both"/>
        <w:sectPr>
          <w:pgSz w:w="11910" w:h="16840"/>
          <w:pgMar w:header="262" w:footer="0" w:top="1660" w:bottom="280" w:left="1140" w:right="1140"/>
        </w:sectPr>
      </w:pPr>
    </w:p>
    <w:p>
      <w:pPr>
        <w:pStyle w:val="BodyText"/>
        <w:spacing w:before="9"/>
        <w:rPr>
          <w:sz w:val="14"/>
        </w:rPr>
      </w:pPr>
    </w:p>
    <w:p>
      <w:pPr>
        <w:pStyle w:val="BodyText"/>
        <w:spacing w:line="276" w:lineRule="auto" w:before="90"/>
        <w:ind w:left="562" w:right="560"/>
        <w:jc w:val="both"/>
      </w:pPr>
      <w:r>
        <w:rPr/>
        <w:t>Durante el desarrollo de los trabajos, el adjudicatario deberá mantener actualizada la documentación técnica, incorporando cualquier modificación o sustitución de materiales o equipos que deba someterse igualmente a la autorización previa de la dirección Facultativa y del Ayuntamiento. Cualquier variación respecto a las especificaciones aprobadas sin dicha autorización podrá ser motivo de rechazo o paralización de los trabajos, siendo responsabilidad exclusiva del contratista las consecuencias derivadas de su incumplimiento.</w:t>
      </w:r>
    </w:p>
    <w:p>
      <w:pPr>
        <w:pStyle w:val="BodyText"/>
        <w:spacing w:before="4"/>
        <w:rPr>
          <w:sz w:val="31"/>
        </w:rPr>
      </w:pPr>
    </w:p>
    <w:p>
      <w:pPr>
        <w:pStyle w:val="Heading1"/>
        <w:numPr>
          <w:ilvl w:val="1"/>
          <w:numId w:val="1"/>
        </w:numPr>
        <w:tabs>
          <w:tab w:pos="1270" w:val="left" w:leader="none"/>
        </w:tabs>
        <w:spacing w:line="276" w:lineRule="auto" w:before="0" w:after="0"/>
        <w:ind w:left="1282" w:right="560" w:hanging="360"/>
        <w:jc w:val="left"/>
      </w:pPr>
      <w:bookmarkStart w:name="_bookmark6" w:id="13"/>
      <w:bookmarkEnd w:id="13"/>
      <w:r>
        <w:rPr>
          <w:b w:val="0"/>
        </w:rPr>
      </w:r>
      <w:bookmarkStart w:name="_bookmark6" w:id="14"/>
      <w:bookmarkEnd w:id="14"/>
      <w:r>
        <w:rPr/>
        <w:t>MAN</w:t>
      </w:r>
      <w:r>
        <w:rPr/>
        <w:t>TENIMIENTO DE LAS </w:t>
      </w:r>
      <w:r>
        <w:rPr>
          <w:spacing w:val="-3"/>
        </w:rPr>
        <w:t>INSTALACIÓN </w:t>
      </w:r>
      <w:r>
        <w:rPr>
          <w:spacing w:val="-5"/>
        </w:rPr>
        <w:t>PARA </w:t>
      </w:r>
      <w:r>
        <w:rPr/>
        <w:t>CUMPLIMIENTO CON EL PERIODO DE</w:t>
      </w:r>
      <w:r>
        <w:rPr>
          <w:spacing w:val="-18"/>
        </w:rPr>
        <w:t> </w:t>
      </w:r>
      <w:r>
        <w:rPr/>
        <w:t>GARANTÍA</w:t>
      </w:r>
    </w:p>
    <w:p>
      <w:pPr>
        <w:pStyle w:val="BodyText"/>
        <w:spacing w:line="276" w:lineRule="auto" w:before="79"/>
        <w:ind w:left="562" w:right="557"/>
        <w:jc w:val="both"/>
      </w:pPr>
      <w:r>
        <w:rPr/>
        <w:t>Durante el periodo de garantía, el adjudicatario estará obligado a realizar el mantenimiento correctivo de todas las instalaciones ejecutadas, eléctricas, de climatización, fontanería, protección contra incendios y demás sistemas asociados, con el fin de asegurar su correcto funcionamiento, rendimiento y seguridad conforme a las especificaciones del proyecto y la normativa técnica aplicable.</w:t>
      </w:r>
    </w:p>
    <w:p>
      <w:pPr>
        <w:pStyle w:val="BodyText"/>
        <w:spacing w:line="276" w:lineRule="auto" w:before="201"/>
        <w:ind w:left="562" w:right="561"/>
        <w:jc w:val="both"/>
      </w:pPr>
      <w:r>
        <w:rPr/>
        <w:t>Dichas labores de mantenimiento incluirán la revisión periódica de los equipos, comprobación del estado de los materiales, sustitución de elementos defectuosos, calibración de sistemas de control y limpieza de componentes, garantizando en todo momento la plena operatividad de las instalaciones.</w:t>
      </w:r>
    </w:p>
    <w:p>
      <w:pPr>
        <w:pStyle w:val="BodyText"/>
        <w:spacing w:line="276" w:lineRule="auto" w:before="200"/>
        <w:ind w:left="562" w:right="561"/>
        <w:jc w:val="both"/>
      </w:pPr>
      <w:r>
        <w:rPr/>
        <w:t>Cualquier deficiencia, avería o mal funcionamiento detectado durante este periodo deberá ser reparado por el adjudicatario sin coste adicional para la Administración, quedando bajo su responsabilidad la conservación y la correcta prestación del servicio hasta la recepción definitiva de las obras.</w:t>
      </w:r>
    </w:p>
    <w:p>
      <w:pPr>
        <w:pStyle w:val="BodyText"/>
        <w:spacing w:line="276" w:lineRule="auto" w:before="201"/>
        <w:ind w:left="562" w:right="560"/>
        <w:jc w:val="both"/>
      </w:pPr>
      <w:r>
        <w:rPr/>
        <w:t>El periodo de garantía será, como mínimo, el propuesto por el adjudicatario en su oferta, salvo en aquellos equipos, materiales o instalaciones que dispongan de un plazo de garantía superior establecido por el fabricante o por la normativa técnica aplicable, en cuyo caso prevalecerá dicho periodo más amplio. En estos supuestos, el adjudicatario deberá comunicar formalmente al Ayuntamiento la existencia de plazos de garantía superiores, aportando la documentación acreditativa correspondiente (certificados, fichas técnicas o garantías del fabricante), a fin de que quede debidamente registrado en el</w:t>
      </w:r>
      <w:r>
        <w:rPr>
          <w:spacing w:val="-1"/>
        </w:rPr>
        <w:t> </w:t>
      </w:r>
      <w:r>
        <w:rPr/>
        <w:t>expediente.</w:t>
      </w:r>
    </w:p>
    <w:p>
      <w:pPr>
        <w:pStyle w:val="BodyText"/>
        <w:spacing w:before="4"/>
        <w:rPr>
          <w:sz w:val="31"/>
        </w:rPr>
      </w:pPr>
    </w:p>
    <w:p>
      <w:pPr>
        <w:pStyle w:val="Heading1"/>
        <w:numPr>
          <w:ilvl w:val="1"/>
          <w:numId w:val="1"/>
        </w:numPr>
        <w:tabs>
          <w:tab w:pos="1270" w:val="left" w:leader="none"/>
        </w:tabs>
        <w:spacing w:line="240" w:lineRule="auto" w:before="1" w:after="0"/>
        <w:ind w:left="1270" w:right="0" w:hanging="349"/>
        <w:jc w:val="left"/>
      </w:pPr>
      <w:bookmarkStart w:name="_bookmark7" w:id="15"/>
      <w:bookmarkEnd w:id="15"/>
      <w:r>
        <w:rPr>
          <w:b w:val="0"/>
        </w:rPr>
      </w:r>
      <w:bookmarkStart w:name="_bookmark7" w:id="16"/>
      <w:bookmarkEnd w:id="16"/>
      <w:r>
        <w:rPr/>
        <w:t>P</w:t>
      </w:r>
      <w:r>
        <w:rPr/>
        <w:t>RECIO DE</w:t>
      </w:r>
      <w:r>
        <w:rPr>
          <w:spacing w:val="-3"/>
        </w:rPr>
        <w:t> LICITACIÓN</w:t>
      </w:r>
    </w:p>
    <w:p>
      <w:pPr>
        <w:pStyle w:val="BodyText"/>
        <w:spacing w:line="276" w:lineRule="auto" w:before="120"/>
        <w:ind w:left="562" w:right="558"/>
        <w:jc w:val="both"/>
      </w:pPr>
      <w:r>
        <w:rPr>
          <w:color w:val="0D0D0D"/>
        </w:rPr>
        <w:t>El presupuesto de licitación asciende a 263.225,05€ (doscientos sesenta y tres mil doscientos veinticinco euros con cinco céntimos), siendo el 7% de IGIC, 18.425,75€ (dieciocho mil cuatrocientos veinticinco euros con setenta y cinco céntimos). La cuantía total del contrato asciende a 281.650,80€ (doscientos ochenta y un mil seiscientos cincuenta euros con ochenta céntimos.).</w:t>
      </w:r>
    </w:p>
    <w:p>
      <w:pPr>
        <w:pStyle w:val="BodyText"/>
        <w:spacing w:before="201"/>
        <w:ind w:left="562"/>
        <w:jc w:val="both"/>
      </w:pPr>
      <w:r>
        <w:rPr/>
        <w:t>El desglose es el siguiente:</w:t>
      </w:r>
    </w:p>
    <w:p>
      <w:pPr>
        <w:spacing w:after="0"/>
        <w:jc w:val="both"/>
        <w:sectPr>
          <w:pgSz w:w="11910" w:h="16840"/>
          <w:pgMar w:header="262" w:footer="0" w:top="1660" w:bottom="280" w:left="1140" w:right="1140"/>
        </w:sectPr>
      </w:pPr>
    </w:p>
    <w:p>
      <w:pPr>
        <w:pStyle w:val="BodyText"/>
        <w:spacing w:before="2" w:after="1"/>
        <w:rPr>
          <w:sz w:val="22"/>
        </w:rPr>
      </w:pPr>
    </w:p>
    <w:p>
      <w:pPr>
        <w:pStyle w:val="BodyText"/>
        <w:ind w:left="561"/>
        <w:rPr>
          <w:sz w:val="20"/>
        </w:rPr>
      </w:pPr>
      <w:r>
        <w:rPr>
          <w:sz w:val="20"/>
        </w:rPr>
        <w:pict>
          <v:group style="width:428.25pt;height:371.7pt;mso-position-horizontal-relative:char;mso-position-vertical-relative:line" coordorigin="0,0" coordsize="8565,7434">
            <v:shape style="position:absolute;left:100;top:341;width:8314;height:7063" type="#_x0000_t75" alt="Tabla  El contenido generado por IA puede ser incorrecto." stroked="false">
              <v:imagedata r:id="rId6" o:title=""/>
            </v:shape>
            <v:rect style="position:absolute;left:0;top:0;width:29;height:10" filled="true" fillcolor="#000000" stroked="false">
              <v:fill type="solid"/>
            </v:rect>
            <v:line style="position:absolute" from="29,5" to="8536,5" stroked="true" strokeweight=".48pt" strokecolor="#000000">
              <v:stroke dashstyle="solid"/>
            </v:line>
            <v:line style="position:absolute" from="29,24" to="8536,24" stroked="true" strokeweight=".48pt" strokecolor="#000000">
              <v:stroke dashstyle="solid"/>
            </v:line>
            <v:rect style="position:absolute;left:8535;top:0;width:29;height:10" filled="true" fillcolor="#000000" stroked="false">
              <v:fill type="solid"/>
            </v:rect>
            <v:line style="position:absolute" from="5,0" to="5,7434" stroked="true" strokeweight=".48pt" strokecolor="#000000">
              <v:stroke dashstyle="solid"/>
            </v:line>
            <v:line style="position:absolute" from="24,19" to="24,7415" stroked="true" strokeweight=".48pt" strokecolor="#000000">
              <v:stroke dashstyle="solid"/>
            </v:line>
            <v:line style="position:absolute" from="8560,0" to="8560,7434" stroked="true" strokeweight=".47998pt" strokecolor="#000000">
              <v:stroke dashstyle="solid"/>
            </v:line>
            <v:line style="position:absolute" from="8541,19" to="8541,7415" stroked="true" strokeweight=".47998pt" strokecolor="#000000">
              <v:stroke dashstyle="solid"/>
            </v:line>
            <v:rect style="position:absolute;left:0;top:7424;width:29;height:10" filled="true" fillcolor="#000000" stroked="false">
              <v:fill type="solid"/>
            </v:rect>
            <v:line style="position:absolute" from="29,7429" to="8536,7429" stroked="true" strokeweight=".48001pt" strokecolor="#000000">
              <v:stroke dashstyle="solid"/>
            </v:line>
            <v:line style="position:absolute" from="29,7410" to="8536,7410" stroked="true" strokeweight=".48001pt" strokecolor="#000000">
              <v:stroke dashstyle="solid"/>
            </v:line>
            <v:rect style="position:absolute;left:8535;top:7424;width:29;height:10" filled="true" fillcolor="#000000" stroked="false">
              <v:fill type="solid"/>
            </v:rect>
          </v:group>
        </w:pict>
      </w:r>
      <w:r>
        <w:rPr>
          <w:sz w:val="20"/>
        </w:rPr>
      </w:r>
    </w:p>
    <w:p>
      <w:pPr>
        <w:pStyle w:val="BodyText"/>
        <w:spacing w:before="8"/>
        <w:rPr>
          <w:sz w:val="23"/>
        </w:rPr>
      </w:pPr>
    </w:p>
    <w:p>
      <w:pPr>
        <w:pStyle w:val="Heading1"/>
        <w:numPr>
          <w:ilvl w:val="1"/>
          <w:numId w:val="1"/>
        </w:numPr>
        <w:tabs>
          <w:tab w:pos="1270" w:val="left" w:leader="none"/>
        </w:tabs>
        <w:spacing w:line="240" w:lineRule="auto" w:before="90" w:after="0"/>
        <w:ind w:left="1270" w:right="0" w:hanging="349"/>
        <w:jc w:val="left"/>
      </w:pPr>
      <w:bookmarkStart w:name="_bookmark8" w:id="17"/>
      <w:bookmarkEnd w:id="17"/>
      <w:r>
        <w:rPr>
          <w:b w:val="0"/>
        </w:rPr>
      </w:r>
      <w:bookmarkStart w:name="_bookmark8" w:id="18"/>
      <w:bookmarkEnd w:id="18"/>
      <w:r>
        <w:rPr/>
        <w:t>SEGURI</w:t>
      </w:r>
      <w:r>
        <w:rPr/>
        <w:t>DAD Y</w:t>
      </w:r>
      <w:r>
        <w:rPr>
          <w:spacing w:val="-23"/>
        </w:rPr>
        <w:t> </w:t>
      </w:r>
      <w:r>
        <w:rPr/>
        <w:t>SALUD</w:t>
      </w:r>
    </w:p>
    <w:p>
      <w:pPr>
        <w:pStyle w:val="BodyText"/>
        <w:spacing w:line="276" w:lineRule="auto" w:before="142"/>
        <w:ind w:left="562" w:right="559"/>
        <w:jc w:val="both"/>
      </w:pPr>
      <w:r>
        <w:rPr/>
        <w:t>La ejecución de las obras de adecuación y acondicionamiento del centro sociocultural deberá cumplir estrictamente con la normativa vigente en materia de prevención de riesgos laborales, incluyendo la Ley 31/1995 de Prevención de Riesgos Laborales, el Real Decreto 1627/1997 sobre disposiciones mínimas de seguridad en obras de cons- trucción, el Reglamento de los Servicios de Prevención (RD 39/1997) y la normativa específica sobre riesgos eléctricos (RD 614/2001). Esta normativa establece la obliga- ción de garantizar la seguridad y salud de todos los trabajadores mediante la identifica- ción de riesgos, la planificación de medidas preventivas, la formación y la coordinación de actividades entre empresas.</w:t>
      </w:r>
    </w:p>
    <w:p>
      <w:pPr>
        <w:pStyle w:val="BodyText"/>
        <w:spacing w:line="276" w:lineRule="auto" w:before="99"/>
        <w:ind w:left="562" w:right="554"/>
        <w:jc w:val="both"/>
      </w:pPr>
      <w:r>
        <w:rPr/>
        <w:t>El adjudicatario deberá elaborar y presentar, antes del inicio de los trabajos, un Plan de Seguridad y Salud</w:t>
      </w:r>
      <w:r>
        <w:rPr>
          <w:b/>
        </w:rPr>
        <w:t>, </w:t>
      </w:r>
      <w:r>
        <w:rPr/>
        <w:t>que contemple la identificación y evaluación de riesgos específicos de la obra, la definición de medidas preventivas y correctivas, la asignación de respon- sabilidades en materia de seguridad, así como los procedimientos de coordinación con subcontratistas. Asimismo, se deberán mantener registros de inspecciones, incidencias, entrega y control de equipos de protección individual (EPI), así como de la formación impartida a los trabajadores.</w:t>
      </w:r>
    </w:p>
    <w:p>
      <w:pPr>
        <w:spacing w:after="0" w:line="276" w:lineRule="auto"/>
        <w:jc w:val="both"/>
        <w:sectPr>
          <w:pgSz w:w="11910" w:h="16840"/>
          <w:pgMar w:header="262" w:footer="0" w:top="1660" w:bottom="280" w:left="1140" w:right="1140"/>
        </w:sectPr>
      </w:pPr>
    </w:p>
    <w:p>
      <w:pPr>
        <w:pStyle w:val="BodyText"/>
        <w:rPr>
          <w:sz w:val="20"/>
        </w:rPr>
      </w:pPr>
    </w:p>
    <w:p>
      <w:pPr>
        <w:pStyle w:val="BodyText"/>
        <w:spacing w:before="4"/>
        <w:rPr>
          <w:sz w:val="22"/>
        </w:rPr>
      </w:pPr>
    </w:p>
    <w:p>
      <w:pPr>
        <w:pStyle w:val="BodyText"/>
        <w:spacing w:line="276" w:lineRule="auto" w:before="90"/>
        <w:ind w:left="562" w:right="559"/>
        <w:jc w:val="both"/>
      </w:pPr>
      <w:r>
        <w:rPr/>
        <w:t>En todos los espacios de obra será obligatoria la señalización de seguridad adecuada</w:t>
      </w:r>
      <w:r>
        <w:rPr>
          <w:b/>
        </w:rPr>
        <w:t>, </w:t>
      </w:r>
      <w:r>
        <w:rPr/>
        <w:t>conforme a la normativa vigente, identificando zonas de riesgo, accesos restringidos y medidas preventivas específicas. Los trabajadores deberán disponer y utilizar los equi- pos de protección individual apropiados para cada tarea, tales como cascos, calzado de seguridad, guantes, ropa de alta visibilidad y protecciones auditivas u oculares, garanti- zando que estos se mantengan en perfecto estado y se revisen periódicamente.</w:t>
      </w:r>
    </w:p>
    <w:p>
      <w:pPr>
        <w:pStyle w:val="BodyText"/>
        <w:rPr>
          <w:sz w:val="26"/>
        </w:rPr>
      </w:pPr>
    </w:p>
    <w:p>
      <w:pPr>
        <w:pStyle w:val="BodyText"/>
        <w:spacing w:line="276" w:lineRule="auto" w:before="218"/>
        <w:ind w:left="562" w:right="559"/>
        <w:jc w:val="both"/>
      </w:pPr>
      <w:r>
        <w:rPr/>
        <w:t>La Dirección Facultativa realizará inspecciones y controles periódicos para verificar el cumplimiento del Plan de Seguridad y Salud, la correcta utilización de los EPI, la efica- cia de la señalización y la correcta aplicación de todas las medidas preventivas. El adju- dicatario deberá mantener disponible toda la documentación relativa a seguridad y sa- lud, incluyendo planes, registros de formación, informes de inspección y comprobacio- nes de equipos, con el fin de garantizar la seguridad integral de los trabajadores y la correcta ejecución de la obra conforme a la legislación vigente.</w:t>
      </w:r>
    </w:p>
    <w:p>
      <w:pPr>
        <w:pStyle w:val="BodyText"/>
        <w:rPr>
          <w:sz w:val="26"/>
        </w:rPr>
      </w:pPr>
    </w:p>
    <w:p>
      <w:pPr>
        <w:pStyle w:val="BodyText"/>
        <w:spacing w:before="9"/>
        <w:rPr>
          <w:sz w:val="27"/>
        </w:rPr>
      </w:pPr>
    </w:p>
    <w:p>
      <w:pPr>
        <w:pStyle w:val="BodyText"/>
        <w:ind w:left="5833"/>
      </w:pPr>
      <w:r>
        <w:rPr/>
        <w:t>Tías, con fecha y firma al margen</w:t>
      </w:r>
    </w:p>
    <w:p>
      <w:pPr>
        <w:pStyle w:val="BodyText"/>
        <w:spacing w:before="3"/>
        <w:rPr>
          <w:sz w:val="10"/>
        </w:rPr>
      </w:pPr>
    </w:p>
    <w:p>
      <w:pPr>
        <w:spacing w:after="0"/>
        <w:rPr>
          <w:sz w:val="10"/>
        </w:rPr>
        <w:sectPr>
          <w:pgSz w:w="11910" w:h="16840"/>
          <w:pgMar w:header="262" w:footer="0" w:top="1660" w:bottom="280" w:left="1140" w:right="1140"/>
        </w:sectPr>
      </w:pPr>
    </w:p>
    <w:p>
      <w:pPr>
        <w:spacing w:line="242" w:lineRule="auto" w:before="105"/>
        <w:ind w:left="6616" w:right="0" w:firstLine="0"/>
        <w:jc w:val="left"/>
        <w:rPr>
          <w:rFonts w:ascii="Calibri"/>
          <w:sz w:val="17"/>
        </w:rPr>
      </w:pPr>
      <w:r>
        <w:rPr/>
        <w:pict>
          <v:shape style="position:absolute;margin-left:408.245605pt;margin-top:5.130034pt;width:54.55pt;height:54.15pt;mso-position-horizontal-relative:page;mso-position-vertical-relative:paragraph;z-index:-251928576" coordorigin="8165,103" coordsize="1091,1083" path="m8361,956l8267,1018,8206,1077,8174,1129,8165,1167,8172,1181,8178,1185,8251,1185,8254,1183,8186,1183,8196,1142,8231,1085,8288,1020,8361,956xm8631,103l8609,117,8598,151,8594,189,8593,216,8594,240,8596,267,8600,295,8604,323,8610,353,8616,383,8623,413,8631,443,8625,471,8609,519,8584,585,8550,662,8511,747,8467,836,8420,923,8371,1005,8322,1076,8273,1132,8228,1169,8186,1183,8254,1183,8291,1156,8342,1101,8401,1020,8468,912,8478,908,8468,908,8524,808,8567,724,8599,654,8623,595,8639,546,8651,504,8690,504,8666,440,8674,383,8651,383,8638,335,8630,288,8625,244,8623,204,8624,187,8626,159,8633,129,8647,109,8674,109,8659,104,8631,103xm9244,906l9213,906,9201,917,9201,947,9213,958,9244,958,9249,953,9216,953,9206,944,9206,921,9216,912,9249,912,9244,906xm9249,912l9241,912,9248,921,9248,944,9241,953,9249,953,9255,947,9255,917,9249,912xm9235,915l9217,915,9217,947,9223,947,9223,935,9237,935,9236,934,9233,933,9239,931,9223,931,9223,922,9239,922,9238,920,9235,915xm9237,935l9229,935,9232,938,9233,942,9234,947,9239,947,9238,942,9238,937,9237,935xm9239,922l9231,922,9233,923,9233,930,9229,931,9239,931,9239,926,9239,922xm8690,504l8651,504,8699,604,8748,678,8797,731,8842,766,8879,790,8799,805,8717,824,8633,848,8549,876,8468,908,8478,908,8536,890,8609,871,8686,853,8764,839,8842,827,8920,817,9003,817,8985,810,9061,806,9232,806,9203,791,9162,782,8936,782,8911,767,8885,751,8860,735,8836,718,8781,662,8734,594,8696,519,8690,504xm9003,817l8920,817,8993,850,9065,875,9131,891,9186,896,9209,895,9226,890,9238,882,9240,879,9209,879,9166,874,9111,859,9050,838,9003,817xm9244,871l9236,874,9224,879,9240,879,9244,871xm9232,806l9061,806,9148,809,9220,824,9248,859,9252,851,9255,847,9255,840,9241,811,9232,806xm9070,774l9040,775,9008,777,8936,782,9162,782,9145,778,9070,774xm8684,194l8678,226,8671,269,8663,321,8651,383,8674,383,8675,376,8680,315,8682,255,8684,194xm8674,109l8647,109,8659,117,8670,129,8679,147,8684,174,8689,133,8679,111,8674,109xe" filled="true" fillcolor="#ffd8d8" stroked="false">
            <v:path arrowok="t"/>
            <v:fill type="solid"/>
            <w10:wrap type="none"/>
          </v:shape>
        </w:pict>
      </w:r>
      <w:r>
        <w:rPr>
          <w:rFonts w:ascii="Calibri"/>
          <w:w w:val="105"/>
          <w:sz w:val="17"/>
        </w:rPr>
        <w:t>PAULA BARRETO GARCIA - DNI </w:t>
      </w:r>
      <w:r>
        <w:rPr>
          <w:rFonts w:ascii="Calibri"/>
          <w:sz w:val="17"/>
        </w:rPr>
        <w:t>78546024N</w:t>
      </w:r>
    </w:p>
    <w:p>
      <w:pPr>
        <w:spacing w:line="242" w:lineRule="auto" w:before="111"/>
        <w:ind w:left="95" w:right="1123" w:firstLine="0"/>
        <w:jc w:val="left"/>
        <w:rPr>
          <w:rFonts w:ascii="Calibri"/>
          <w:sz w:val="12"/>
        </w:rPr>
      </w:pPr>
      <w:r>
        <w:rPr/>
        <w:br w:type="column"/>
      </w:r>
      <w:r>
        <w:rPr>
          <w:rFonts w:ascii="Calibri"/>
          <w:w w:val="105"/>
          <w:sz w:val="12"/>
        </w:rPr>
        <w:t>Firmado digitalmente por PAULA BARRETO GARCIA - DNI 78546024N </w:t>
      </w:r>
      <w:r>
        <w:rPr>
          <w:rFonts w:ascii="Calibri"/>
          <w:sz w:val="12"/>
        </w:rPr>
        <w:t>Fecha:</w:t>
      </w:r>
      <w:r>
        <w:rPr>
          <w:rFonts w:ascii="Calibri"/>
          <w:spacing w:val="3"/>
          <w:sz w:val="12"/>
        </w:rPr>
        <w:t> </w:t>
      </w:r>
      <w:r>
        <w:rPr>
          <w:rFonts w:ascii="Calibri"/>
          <w:sz w:val="12"/>
        </w:rPr>
        <w:t>2025.10.14</w:t>
      </w:r>
    </w:p>
    <w:p>
      <w:pPr>
        <w:spacing w:before="5"/>
        <w:ind w:left="95" w:right="0" w:firstLine="0"/>
        <w:jc w:val="left"/>
        <w:rPr>
          <w:rFonts w:ascii="Calibri"/>
          <w:sz w:val="12"/>
        </w:rPr>
      </w:pPr>
      <w:r>
        <w:rPr>
          <w:rFonts w:ascii="Calibri"/>
          <w:w w:val="105"/>
          <w:sz w:val="12"/>
        </w:rPr>
        <w:t>13:15:11 +01'00'</w:t>
      </w:r>
    </w:p>
    <w:sectPr>
      <w:type w:val="continuous"/>
      <w:pgSz w:w="11910" w:h="16840"/>
      <w:pgMar w:top="1660" w:bottom="280" w:left="1140" w:right="1140"/>
      <w:cols w:num="2" w:equalWidth="0">
        <w:col w:w="7450" w:space="40"/>
        <w:col w:w="21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85856">
          <wp:simplePos x="0" y="0"/>
          <wp:positionH relativeFrom="page">
            <wp:posOffset>452615</wp:posOffset>
          </wp:positionH>
          <wp:positionV relativeFrom="page">
            <wp:posOffset>166595</wp:posOffset>
          </wp:positionV>
          <wp:extent cx="2297512" cy="61616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297512" cy="61616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4" w:hanging="207"/>
      </w:pPr>
      <w:rPr>
        <w:rFonts w:hint="default" w:ascii="Times New Roman" w:hAnsi="Times New Roman" w:eastAsia="Times New Roman" w:cs="Times New Roman"/>
        <w:spacing w:val="-14"/>
        <w:w w:val="100"/>
        <w:sz w:val="24"/>
        <w:szCs w:val="24"/>
        <w:lang w:val="es-ES" w:eastAsia="es-ES" w:bidi="es-ES"/>
      </w:rPr>
    </w:lvl>
    <w:lvl w:ilvl="1">
      <w:start w:val="0"/>
      <w:numFmt w:val="bullet"/>
      <w:lvlText w:val="•"/>
      <w:lvlJc w:val="left"/>
      <w:pPr>
        <w:ind w:left="441" w:hanging="207"/>
      </w:pPr>
      <w:rPr>
        <w:rFonts w:hint="default"/>
        <w:lang w:val="es-ES" w:eastAsia="es-ES" w:bidi="es-ES"/>
      </w:rPr>
    </w:lvl>
    <w:lvl w:ilvl="2">
      <w:start w:val="0"/>
      <w:numFmt w:val="bullet"/>
      <w:lvlText w:val="•"/>
      <w:lvlJc w:val="left"/>
      <w:pPr>
        <w:ind w:left="783" w:hanging="207"/>
      </w:pPr>
      <w:rPr>
        <w:rFonts w:hint="default"/>
        <w:lang w:val="es-ES" w:eastAsia="es-ES" w:bidi="es-ES"/>
      </w:rPr>
    </w:lvl>
    <w:lvl w:ilvl="3">
      <w:start w:val="0"/>
      <w:numFmt w:val="bullet"/>
      <w:lvlText w:val="•"/>
      <w:lvlJc w:val="left"/>
      <w:pPr>
        <w:ind w:left="1124" w:hanging="207"/>
      </w:pPr>
      <w:rPr>
        <w:rFonts w:hint="default"/>
        <w:lang w:val="es-ES" w:eastAsia="es-ES" w:bidi="es-ES"/>
      </w:rPr>
    </w:lvl>
    <w:lvl w:ilvl="4">
      <w:start w:val="0"/>
      <w:numFmt w:val="bullet"/>
      <w:lvlText w:val="•"/>
      <w:lvlJc w:val="left"/>
      <w:pPr>
        <w:ind w:left="1466" w:hanging="207"/>
      </w:pPr>
      <w:rPr>
        <w:rFonts w:hint="default"/>
        <w:lang w:val="es-ES" w:eastAsia="es-ES" w:bidi="es-ES"/>
      </w:rPr>
    </w:lvl>
    <w:lvl w:ilvl="5">
      <w:start w:val="0"/>
      <w:numFmt w:val="bullet"/>
      <w:lvlText w:val="•"/>
      <w:lvlJc w:val="left"/>
      <w:pPr>
        <w:ind w:left="1808" w:hanging="207"/>
      </w:pPr>
      <w:rPr>
        <w:rFonts w:hint="default"/>
        <w:lang w:val="es-ES" w:eastAsia="es-ES" w:bidi="es-ES"/>
      </w:rPr>
    </w:lvl>
    <w:lvl w:ilvl="6">
      <w:start w:val="0"/>
      <w:numFmt w:val="bullet"/>
      <w:lvlText w:val="•"/>
      <w:lvlJc w:val="left"/>
      <w:pPr>
        <w:ind w:left="2149" w:hanging="207"/>
      </w:pPr>
      <w:rPr>
        <w:rFonts w:hint="default"/>
        <w:lang w:val="es-ES" w:eastAsia="es-ES" w:bidi="es-ES"/>
      </w:rPr>
    </w:lvl>
    <w:lvl w:ilvl="7">
      <w:start w:val="0"/>
      <w:numFmt w:val="bullet"/>
      <w:lvlText w:val="•"/>
      <w:lvlJc w:val="left"/>
      <w:pPr>
        <w:ind w:left="2491" w:hanging="207"/>
      </w:pPr>
      <w:rPr>
        <w:rFonts w:hint="default"/>
        <w:lang w:val="es-ES" w:eastAsia="es-ES" w:bidi="es-ES"/>
      </w:rPr>
    </w:lvl>
    <w:lvl w:ilvl="8">
      <w:start w:val="0"/>
      <w:numFmt w:val="bullet"/>
      <w:lvlText w:val="•"/>
      <w:lvlJc w:val="left"/>
      <w:pPr>
        <w:ind w:left="2832" w:hanging="207"/>
      </w:pPr>
      <w:rPr>
        <w:rFonts w:hint="default"/>
        <w:lang w:val="es-ES" w:eastAsia="es-ES" w:bidi="es-ES"/>
      </w:rPr>
    </w:lvl>
  </w:abstractNum>
  <w:abstractNum w:abstractNumId="3">
    <w:multiLevelType w:val="hybridMultilevel"/>
    <w:lvl w:ilvl="0">
      <w:start w:val="0"/>
      <w:numFmt w:val="bullet"/>
      <w:lvlText w:val="-"/>
      <w:lvlJc w:val="left"/>
      <w:pPr>
        <w:ind w:left="1282" w:hanging="348"/>
      </w:pPr>
      <w:rPr>
        <w:rFonts w:hint="default" w:ascii="Calibri" w:hAnsi="Calibri" w:eastAsia="Calibri" w:cs="Calibri"/>
        <w:spacing w:val="-2"/>
        <w:w w:val="100"/>
        <w:sz w:val="24"/>
        <w:szCs w:val="24"/>
        <w:lang w:val="es-ES" w:eastAsia="es-ES" w:bidi="es-ES"/>
      </w:rPr>
    </w:lvl>
    <w:lvl w:ilvl="1">
      <w:start w:val="0"/>
      <w:numFmt w:val="bullet"/>
      <w:lvlText w:val="•"/>
      <w:lvlJc w:val="left"/>
      <w:pPr>
        <w:ind w:left="2114" w:hanging="348"/>
      </w:pPr>
      <w:rPr>
        <w:rFonts w:hint="default"/>
        <w:lang w:val="es-ES" w:eastAsia="es-ES" w:bidi="es-ES"/>
      </w:rPr>
    </w:lvl>
    <w:lvl w:ilvl="2">
      <w:start w:val="0"/>
      <w:numFmt w:val="bullet"/>
      <w:lvlText w:val="•"/>
      <w:lvlJc w:val="left"/>
      <w:pPr>
        <w:ind w:left="2949" w:hanging="348"/>
      </w:pPr>
      <w:rPr>
        <w:rFonts w:hint="default"/>
        <w:lang w:val="es-ES" w:eastAsia="es-ES" w:bidi="es-ES"/>
      </w:rPr>
    </w:lvl>
    <w:lvl w:ilvl="3">
      <w:start w:val="0"/>
      <w:numFmt w:val="bullet"/>
      <w:lvlText w:val="•"/>
      <w:lvlJc w:val="left"/>
      <w:pPr>
        <w:ind w:left="3783" w:hanging="348"/>
      </w:pPr>
      <w:rPr>
        <w:rFonts w:hint="default"/>
        <w:lang w:val="es-ES" w:eastAsia="es-ES" w:bidi="es-ES"/>
      </w:rPr>
    </w:lvl>
    <w:lvl w:ilvl="4">
      <w:start w:val="0"/>
      <w:numFmt w:val="bullet"/>
      <w:lvlText w:val="•"/>
      <w:lvlJc w:val="left"/>
      <w:pPr>
        <w:ind w:left="4618" w:hanging="348"/>
      </w:pPr>
      <w:rPr>
        <w:rFonts w:hint="default"/>
        <w:lang w:val="es-ES" w:eastAsia="es-ES" w:bidi="es-ES"/>
      </w:rPr>
    </w:lvl>
    <w:lvl w:ilvl="5">
      <w:start w:val="0"/>
      <w:numFmt w:val="bullet"/>
      <w:lvlText w:val="•"/>
      <w:lvlJc w:val="left"/>
      <w:pPr>
        <w:ind w:left="5453" w:hanging="348"/>
      </w:pPr>
      <w:rPr>
        <w:rFonts w:hint="default"/>
        <w:lang w:val="es-ES" w:eastAsia="es-ES" w:bidi="es-ES"/>
      </w:rPr>
    </w:lvl>
    <w:lvl w:ilvl="6">
      <w:start w:val="0"/>
      <w:numFmt w:val="bullet"/>
      <w:lvlText w:val="•"/>
      <w:lvlJc w:val="left"/>
      <w:pPr>
        <w:ind w:left="6287" w:hanging="348"/>
      </w:pPr>
      <w:rPr>
        <w:rFonts w:hint="default"/>
        <w:lang w:val="es-ES" w:eastAsia="es-ES" w:bidi="es-ES"/>
      </w:rPr>
    </w:lvl>
    <w:lvl w:ilvl="7">
      <w:start w:val="0"/>
      <w:numFmt w:val="bullet"/>
      <w:lvlText w:val="•"/>
      <w:lvlJc w:val="left"/>
      <w:pPr>
        <w:ind w:left="7122" w:hanging="348"/>
      </w:pPr>
      <w:rPr>
        <w:rFonts w:hint="default"/>
        <w:lang w:val="es-ES" w:eastAsia="es-ES" w:bidi="es-ES"/>
      </w:rPr>
    </w:lvl>
    <w:lvl w:ilvl="8">
      <w:start w:val="0"/>
      <w:numFmt w:val="bullet"/>
      <w:lvlText w:val="•"/>
      <w:lvlJc w:val="left"/>
      <w:pPr>
        <w:ind w:left="7957" w:hanging="348"/>
      </w:pPr>
      <w:rPr>
        <w:rFonts w:hint="default"/>
        <w:lang w:val="es-ES" w:eastAsia="es-ES" w:bidi="es-ES"/>
      </w:rPr>
    </w:lvl>
  </w:abstractNum>
  <w:abstractNum w:abstractNumId="2">
    <w:multiLevelType w:val="hybridMultilevel"/>
    <w:lvl w:ilvl="0">
      <w:start w:val="0"/>
      <w:numFmt w:val="bullet"/>
      <w:lvlText w:val="-"/>
      <w:lvlJc w:val="left"/>
      <w:pPr>
        <w:ind w:left="1282" w:hanging="348"/>
      </w:pPr>
      <w:rPr>
        <w:rFonts w:hint="default" w:ascii="Times New Roman" w:hAnsi="Times New Roman" w:eastAsia="Times New Roman" w:cs="Times New Roman"/>
        <w:spacing w:val="-2"/>
        <w:w w:val="100"/>
        <w:sz w:val="24"/>
        <w:szCs w:val="24"/>
        <w:lang w:val="es-ES" w:eastAsia="es-ES" w:bidi="es-ES"/>
      </w:rPr>
    </w:lvl>
    <w:lvl w:ilvl="1">
      <w:start w:val="0"/>
      <w:numFmt w:val="bullet"/>
      <w:lvlText w:val="•"/>
      <w:lvlJc w:val="left"/>
      <w:pPr>
        <w:ind w:left="2114" w:hanging="348"/>
      </w:pPr>
      <w:rPr>
        <w:rFonts w:hint="default"/>
        <w:lang w:val="es-ES" w:eastAsia="es-ES" w:bidi="es-ES"/>
      </w:rPr>
    </w:lvl>
    <w:lvl w:ilvl="2">
      <w:start w:val="0"/>
      <w:numFmt w:val="bullet"/>
      <w:lvlText w:val="•"/>
      <w:lvlJc w:val="left"/>
      <w:pPr>
        <w:ind w:left="2949" w:hanging="348"/>
      </w:pPr>
      <w:rPr>
        <w:rFonts w:hint="default"/>
        <w:lang w:val="es-ES" w:eastAsia="es-ES" w:bidi="es-ES"/>
      </w:rPr>
    </w:lvl>
    <w:lvl w:ilvl="3">
      <w:start w:val="0"/>
      <w:numFmt w:val="bullet"/>
      <w:lvlText w:val="•"/>
      <w:lvlJc w:val="left"/>
      <w:pPr>
        <w:ind w:left="3783" w:hanging="348"/>
      </w:pPr>
      <w:rPr>
        <w:rFonts w:hint="default"/>
        <w:lang w:val="es-ES" w:eastAsia="es-ES" w:bidi="es-ES"/>
      </w:rPr>
    </w:lvl>
    <w:lvl w:ilvl="4">
      <w:start w:val="0"/>
      <w:numFmt w:val="bullet"/>
      <w:lvlText w:val="•"/>
      <w:lvlJc w:val="left"/>
      <w:pPr>
        <w:ind w:left="4618" w:hanging="348"/>
      </w:pPr>
      <w:rPr>
        <w:rFonts w:hint="default"/>
        <w:lang w:val="es-ES" w:eastAsia="es-ES" w:bidi="es-ES"/>
      </w:rPr>
    </w:lvl>
    <w:lvl w:ilvl="5">
      <w:start w:val="0"/>
      <w:numFmt w:val="bullet"/>
      <w:lvlText w:val="•"/>
      <w:lvlJc w:val="left"/>
      <w:pPr>
        <w:ind w:left="5453" w:hanging="348"/>
      </w:pPr>
      <w:rPr>
        <w:rFonts w:hint="default"/>
        <w:lang w:val="es-ES" w:eastAsia="es-ES" w:bidi="es-ES"/>
      </w:rPr>
    </w:lvl>
    <w:lvl w:ilvl="6">
      <w:start w:val="0"/>
      <w:numFmt w:val="bullet"/>
      <w:lvlText w:val="•"/>
      <w:lvlJc w:val="left"/>
      <w:pPr>
        <w:ind w:left="6287" w:hanging="348"/>
      </w:pPr>
      <w:rPr>
        <w:rFonts w:hint="default"/>
        <w:lang w:val="es-ES" w:eastAsia="es-ES" w:bidi="es-ES"/>
      </w:rPr>
    </w:lvl>
    <w:lvl w:ilvl="7">
      <w:start w:val="0"/>
      <w:numFmt w:val="bullet"/>
      <w:lvlText w:val="•"/>
      <w:lvlJc w:val="left"/>
      <w:pPr>
        <w:ind w:left="7122" w:hanging="348"/>
      </w:pPr>
      <w:rPr>
        <w:rFonts w:hint="default"/>
        <w:lang w:val="es-ES" w:eastAsia="es-ES" w:bidi="es-ES"/>
      </w:rPr>
    </w:lvl>
    <w:lvl w:ilvl="8">
      <w:start w:val="0"/>
      <w:numFmt w:val="bullet"/>
      <w:lvlText w:val="•"/>
      <w:lvlJc w:val="left"/>
      <w:pPr>
        <w:ind w:left="7957" w:hanging="348"/>
      </w:pPr>
      <w:rPr>
        <w:rFonts w:hint="default"/>
        <w:lang w:val="es-ES" w:eastAsia="es-ES" w:bidi="es-ES"/>
      </w:rPr>
    </w:lvl>
  </w:abstractNum>
  <w:abstractNum w:abstractNumId="1">
    <w:multiLevelType w:val="hybridMultilevel"/>
    <w:lvl w:ilvl="0">
      <w:start w:val="0"/>
      <w:numFmt w:val="bullet"/>
      <w:lvlText w:val=""/>
      <w:lvlJc w:val="left"/>
      <w:pPr>
        <w:ind w:left="1282" w:hanging="348"/>
      </w:pPr>
      <w:rPr>
        <w:rFonts w:hint="default" w:ascii="Symbol" w:hAnsi="Symbol" w:eastAsia="Symbol" w:cs="Symbol"/>
        <w:w w:val="100"/>
        <w:sz w:val="24"/>
        <w:szCs w:val="24"/>
        <w:lang w:val="es-ES" w:eastAsia="es-ES" w:bidi="es-ES"/>
      </w:rPr>
    </w:lvl>
    <w:lvl w:ilvl="1">
      <w:start w:val="0"/>
      <w:numFmt w:val="bullet"/>
      <w:lvlText w:val="•"/>
      <w:lvlJc w:val="left"/>
      <w:pPr>
        <w:ind w:left="2114" w:hanging="348"/>
      </w:pPr>
      <w:rPr>
        <w:rFonts w:hint="default"/>
        <w:lang w:val="es-ES" w:eastAsia="es-ES" w:bidi="es-ES"/>
      </w:rPr>
    </w:lvl>
    <w:lvl w:ilvl="2">
      <w:start w:val="0"/>
      <w:numFmt w:val="bullet"/>
      <w:lvlText w:val="•"/>
      <w:lvlJc w:val="left"/>
      <w:pPr>
        <w:ind w:left="2949" w:hanging="348"/>
      </w:pPr>
      <w:rPr>
        <w:rFonts w:hint="default"/>
        <w:lang w:val="es-ES" w:eastAsia="es-ES" w:bidi="es-ES"/>
      </w:rPr>
    </w:lvl>
    <w:lvl w:ilvl="3">
      <w:start w:val="0"/>
      <w:numFmt w:val="bullet"/>
      <w:lvlText w:val="•"/>
      <w:lvlJc w:val="left"/>
      <w:pPr>
        <w:ind w:left="3783" w:hanging="348"/>
      </w:pPr>
      <w:rPr>
        <w:rFonts w:hint="default"/>
        <w:lang w:val="es-ES" w:eastAsia="es-ES" w:bidi="es-ES"/>
      </w:rPr>
    </w:lvl>
    <w:lvl w:ilvl="4">
      <w:start w:val="0"/>
      <w:numFmt w:val="bullet"/>
      <w:lvlText w:val="•"/>
      <w:lvlJc w:val="left"/>
      <w:pPr>
        <w:ind w:left="4618" w:hanging="348"/>
      </w:pPr>
      <w:rPr>
        <w:rFonts w:hint="default"/>
        <w:lang w:val="es-ES" w:eastAsia="es-ES" w:bidi="es-ES"/>
      </w:rPr>
    </w:lvl>
    <w:lvl w:ilvl="5">
      <w:start w:val="0"/>
      <w:numFmt w:val="bullet"/>
      <w:lvlText w:val="•"/>
      <w:lvlJc w:val="left"/>
      <w:pPr>
        <w:ind w:left="5453" w:hanging="348"/>
      </w:pPr>
      <w:rPr>
        <w:rFonts w:hint="default"/>
        <w:lang w:val="es-ES" w:eastAsia="es-ES" w:bidi="es-ES"/>
      </w:rPr>
    </w:lvl>
    <w:lvl w:ilvl="6">
      <w:start w:val="0"/>
      <w:numFmt w:val="bullet"/>
      <w:lvlText w:val="•"/>
      <w:lvlJc w:val="left"/>
      <w:pPr>
        <w:ind w:left="6287" w:hanging="348"/>
      </w:pPr>
      <w:rPr>
        <w:rFonts w:hint="default"/>
        <w:lang w:val="es-ES" w:eastAsia="es-ES" w:bidi="es-ES"/>
      </w:rPr>
    </w:lvl>
    <w:lvl w:ilvl="7">
      <w:start w:val="0"/>
      <w:numFmt w:val="bullet"/>
      <w:lvlText w:val="•"/>
      <w:lvlJc w:val="left"/>
      <w:pPr>
        <w:ind w:left="7122" w:hanging="348"/>
      </w:pPr>
      <w:rPr>
        <w:rFonts w:hint="default"/>
        <w:lang w:val="es-ES" w:eastAsia="es-ES" w:bidi="es-ES"/>
      </w:rPr>
    </w:lvl>
    <w:lvl w:ilvl="8">
      <w:start w:val="0"/>
      <w:numFmt w:val="bullet"/>
      <w:lvlText w:val="•"/>
      <w:lvlJc w:val="left"/>
      <w:pPr>
        <w:ind w:left="7957" w:hanging="348"/>
      </w:pPr>
      <w:rPr>
        <w:rFonts w:hint="default"/>
        <w:lang w:val="es-ES" w:eastAsia="es-ES" w:bidi="es-ES"/>
      </w:rPr>
    </w:lvl>
  </w:abstractNum>
  <w:abstractNum w:abstractNumId="0">
    <w:multiLevelType w:val="hybridMultilevel"/>
    <w:lvl w:ilvl="0">
      <w:start w:val="1"/>
      <w:numFmt w:val="decimal"/>
      <w:lvlText w:val="%1."/>
      <w:lvlJc w:val="left"/>
      <w:pPr>
        <w:ind w:left="1042" w:hanging="480"/>
        <w:jc w:val="left"/>
      </w:pPr>
      <w:rPr>
        <w:rFonts w:hint="default" w:ascii="Times New Roman" w:hAnsi="Times New Roman" w:eastAsia="Times New Roman" w:cs="Times New Roman"/>
        <w:b/>
        <w:bCs/>
        <w:spacing w:val="-3"/>
        <w:w w:val="100"/>
        <w:sz w:val="24"/>
        <w:szCs w:val="24"/>
        <w:lang w:val="es-ES" w:eastAsia="es-ES" w:bidi="es-ES"/>
      </w:rPr>
    </w:lvl>
    <w:lvl w:ilvl="1">
      <w:start w:val="1"/>
      <w:numFmt w:val="decimal"/>
      <w:lvlText w:val="%2."/>
      <w:lvlJc w:val="left"/>
      <w:pPr>
        <w:ind w:left="1270" w:hanging="348"/>
        <w:jc w:val="left"/>
      </w:pPr>
      <w:rPr>
        <w:rFonts w:hint="default" w:ascii="Times New Roman" w:hAnsi="Times New Roman" w:eastAsia="Times New Roman" w:cs="Times New Roman"/>
        <w:b/>
        <w:bCs/>
        <w:spacing w:val="-18"/>
        <w:w w:val="100"/>
        <w:sz w:val="24"/>
        <w:szCs w:val="24"/>
        <w:lang w:val="es-ES" w:eastAsia="es-ES" w:bidi="es-ES"/>
      </w:rPr>
    </w:lvl>
    <w:lvl w:ilvl="2">
      <w:start w:val="0"/>
      <w:numFmt w:val="bullet"/>
      <w:lvlText w:val="•"/>
      <w:lvlJc w:val="left"/>
      <w:pPr>
        <w:ind w:left="2207" w:hanging="348"/>
      </w:pPr>
      <w:rPr>
        <w:rFonts w:hint="default"/>
        <w:lang w:val="es-ES" w:eastAsia="es-ES" w:bidi="es-ES"/>
      </w:rPr>
    </w:lvl>
    <w:lvl w:ilvl="3">
      <w:start w:val="0"/>
      <w:numFmt w:val="bullet"/>
      <w:lvlText w:val="•"/>
      <w:lvlJc w:val="left"/>
      <w:pPr>
        <w:ind w:left="3134" w:hanging="348"/>
      </w:pPr>
      <w:rPr>
        <w:rFonts w:hint="default"/>
        <w:lang w:val="es-ES" w:eastAsia="es-ES" w:bidi="es-ES"/>
      </w:rPr>
    </w:lvl>
    <w:lvl w:ilvl="4">
      <w:start w:val="0"/>
      <w:numFmt w:val="bullet"/>
      <w:lvlText w:val="•"/>
      <w:lvlJc w:val="left"/>
      <w:pPr>
        <w:ind w:left="4062" w:hanging="348"/>
      </w:pPr>
      <w:rPr>
        <w:rFonts w:hint="default"/>
        <w:lang w:val="es-ES" w:eastAsia="es-ES" w:bidi="es-ES"/>
      </w:rPr>
    </w:lvl>
    <w:lvl w:ilvl="5">
      <w:start w:val="0"/>
      <w:numFmt w:val="bullet"/>
      <w:lvlText w:val="•"/>
      <w:lvlJc w:val="left"/>
      <w:pPr>
        <w:ind w:left="4989" w:hanging="348"/>
      </w:pPr>
      <w:rPr>
        <w:rFonts w:hint="default"/>
        <w:lang w:val="es-ES" w:eastAsia="es-ES" w:bidi="es-ES"/>
      </w:rPr>
    </w:lvl>
    <w:lvl w:ilvl="6">
      <w:start w:val="0"/>
      <w:numFmt w:val="bullet"/>
      <w:lvlText w:val="•"/>
      <w:lvlJc w:val="left"/>
      <w:pPr>
        <w:ind w:left="5916" w:hanging="348"/>
      </w:pPr>
      <w:rPr>
        <w:rFonts w:hint="default"/>
        <w:lang w:val="es-ES" w:eastAsia="es-ES" w:bidi="es-ES"/>
      </w:rPr>
    </w:lvl>
    <w:lvl w:ilvl="7">
      <w:start w:val="0"/>
      <w:numFmt w:val="bullet"/>
      <w:lvlText w:val="•"/>
      <w:lvlJc w:val="left"/>
      <w:pPr>
        <w:ind w:left="6844" w:hanging="348"/>
      </w:pPr>
      <w:rPr>
        <w:rFonts w:hint="default"/>
        <w:lang w:val="es-ES" w:eastAsia="es-ES" w:bidi="es-ES"/>
      </w:rPr>
    </w:lvl>
    <w:lvl w:ilvl="8">
      <w:start w:val="0"/>
      <w:numFmt w:val="bullet"/>
      <w:lvlText w:val="•"/>
      <w:lvlJc w:val="left"/>
      <w:pPr>
        <w:ind w:left="7771" w:hanging="348"/>
      </w:pPr>
      <w:rPr>
        <w:rFonts w:hint="default"/>
        <w:lang w:val="es-ES" w:eastAsia="es-ES" w:bidi="es-E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TOC1" w:type="paragraph">
    <w:name w:val="TOC 1"/>
    <w:basedOn w:val="Normal"/>
    <w:uiPriority w:val="1"/>
    <w:qFormat/>
    <w:pPr>
      <w:spacing w:before="141"/>
      <w:ind w:left="1042" w:hanging="480"/>
    </w:pPr>
    <w:rPr>
      <w:rFonts w:ascii="Times New Roman" w:hAnsi="Times New Roman" w:eastAsia="Times New Roman" w:cs="Times New Roman"/>
      <w:b/>
      <w:bCs/>
      <w:sz w:val="24"/>
      <w:szCs w:val="24"/>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270" w:hanging="349"/>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ind w:left="1282" w:hanging="360"/>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Barreto Garcia</dc:creator>
  <dcterms:created xsi:type="dcterms:W3CDTF">2026-04-15T08:53:30Z</dcterms:created>
  <dcterms:modified xsi:type="dcterms:W3CDTF">2026-04-15T08:53:30Z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para Microsoft 365</vt:lpwstr>
  </property>
  <property fmtid="{D5CDD505-2E9C-101B-9397-08002B2CF9AE}" pid="4" name="LastSaved">
    <vt:filetime>2026-04-15T00:00:00Z</vt:filetime>
  </property>
</Properties>
</file>