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450368">
            <wp:simplePos x="0" y="0"/>
            <wp:positionH relativeFrom="page">
              <wp:posOffset>0</wp:posOffset>
            </wp:positionH>
            <wp:positionV relativeFrom="page">
              <wp:posOffset>278825</wp:posOffset>
            </wp:positionV>
            <wp:extent cx="7560564" cy="1039425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560564" cy="10394250"/>
                    </a:xfrm>
                    <a:prstGeom prst="rect">
                      <a:avLst/>
                    </a:prstGeom>
                  </pic:spPr>
                </pic:pic>
              </a:graphicData>
            </a:graphic>
          </wp:anchor>
        </w:drawing>
      </w:r>
    </w:p>
    <w:p>
      <w:pPr>
        <w:pStyle w:val="BodyText"/>
        <w:rPr>
          <w:rFonts w:ascii="Times New Roman"/>
          <w:sz w:val="20"/>
        </w:rPr>
      </w:pPr>
    </w:p>
    <w:p>
      <w:pPr>
        <w:pStyle w:val="BodyText"/>
        <w:spacing w:before="8"/>
        <w:rPr>
          <w:rFonts w:ascii="Times New Roman"/>
          <w:sz w:val="17"/>
        </w:rPr>
      </w:pPr>
    </w:p>
    <w:p>
      <w:pPr>
        <w:pStyle w:val="Heading1"/>
        <w:spacing w:before="51"/>
        <w:ind w:left="4435" w:right="307" w:hanging="4136"/>
      </w:pPr>
      <w:r>
        <w:rPr>
          <w:color w:val="0D0D0D"/>
        </w:rPr>
        <w:t>PLIEGO DE PRESCRIPCIONES TÉCNICAS PARA LA EJECUCIÓN DE LAS OBRAS CONTENIDAS EN EL PROYECTO</w:t>
      </w:r>
    </w:p>
    <w:p>
      <w:pPr>
        <w:pStyle w:val="BodyText"/>
        <w:spacing w:before="2"/>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OBJETO DEL</w:t>
      </w:r>
      <w:r>
        <w:rPr>
          <w:b/>
          <w:color w:val="0D0D0D"/>
          <w:spacing w:val="-2"/>
          <w:sz w:val="24"/>
        </w:rPr>
        <w:t> </w:t>
      </w:r>
      <w:r>
        <w:rPr>
          <w:b/>
          <w:color w:val="0D0D0D"/>
          <w:sz w:val="24"/>
        </w:rPr>
        <w:t>CONTRATO</w:t>
      </w:r>
    </w:p>
    <w:p>
      <w:pPr>
        <w:pStyle w:val="BodyText"/>
        <w:rPr>
          <w:b/>
        </w:rPr>
      </w:pPr>
    </w:p>
    <w:p>
      <w:pPr>
        <w:pStyle w:val="BodyText"/>
        <w:ind w:left="100" w:right="115"/>
        <w:jc w:val="both"/>
      </w:pPr>
      <w:r>
        <w:rPr>
          <w:color w:val="0D0D0D"/>
        </w:rPr>
        <w:t>Constituye el objeto del contrato la ejecución de las obras contempladas en el Proyecto denominado “Ampliación y refuerzo del firme asfaltico entre los números 46 y 48 del camino Los Fajardos en el pueblo de Tías” (Aprobado por decreto CONDEL/2021/2656 de fecha 30/11/2021)  sin visado, firmado con fecha 11/07/2025, redactado por Bernardino Curbelo Morin, con número de colegiado 16354.</w:t>
      </w:r>
    </w:p>
    <w:p>
      <w:pPr>
        <w:pStyle w:val="BodyText"/>
        <w:spacing w:before="12"/>
        <w:rPr>
          <w:sz w:val="23"/>
        </w:rPr>
      </w:pPr>
    </w:p>
    <w:p>
      <w:pPr>
        <w:pStyle w:val="Heading1"/>
        <w:numPr>
          <w:ilvl w:val="0"/>
          <w:numId w:val="1"/>
        </w:numPr>
        <w:tabs>
          <w:tab w:pos="809" w:val="left" w:leader="none"/>
        </w:tabs>
        <w:spacing w:line="240" w:lineRule="auto" w:before="0" w:after="0"/>
        <w:ind w:left="808" w:right="0" w:hanging="349"/>
        <w:jc w:val="left"/>
      </w:pPr>
      <w:r>
        <w:rPr>
          <w:color w:val="0D0D0D"/>
        </w:rPr>
        <w:t>PRESUPUESTO DEL</w:t>
      </w:r>
      <w:r>
        <w:rPr>
          <w:color w:val="0D0D0D"/>
          <w:spacing w:val="1"/>
        </w:rPr>
        <w:t> </w:t>
      </w:r>
      <w:r>
        <w:rPr>
          <w:color w:val="0D0D0D"/>
        </w:rPr>
        <w:t>CONTRATO</w:t>
      </w:r>
    </w:p>
    <w:p>
      <w:pPr>
        <w:pStyle w:val="BodyText"/>
        <w:spacing w:before="11"/>
        <w:rPr>
          <w:b/>
          <w:sz w:val="23"/>
        </w:rPr>
      </w:pPr>
    </w:p>
    <w:p>
      <w:pPr>
        <w:pStyle w:val="BodyText"/>
        <w:spacing w:before="1"/>
        <w:ind w:left="100" w:right="118"/>
        <w:jc w:val="both"/>
      </w:pPr>
      <w:r>
        <w:rPr>
          <w:color w:val="0D0D0D"/>
        </w:rPr>
        <w:t>El presupuesto base de licitación asciende a la cantidad de CIENTO CINCUENTA Y TRES MIL VEINTICUATRO EUROS CON TREINTA Y NUEVE CÉNTIMOS (153.024,39€)</w:t>
      </w:r>
    </w:p>
    <w:p>
      <w:pPr>
        <w:pStyle w:val="BodyText"/>
        <w:spacing w:before="11"/>
        <w:rPr>
          <w:sz w:val="23"/>
        </w:rPr>
      </w:pPr>
    </w:p>
    <w:p>
      <w:pPr>
        <w:pStyle w:val="Heading1"/>
        <w:numPr>
          <w:ilvl w:val="0"/>
          <w:numId w:val="1"/>
        </w:numPr>
        <w:tabs>
          <w:tab w:pos="809" w:val="left" w:leader="none"/>
        </w:tabs>
        <w:spacing w:line="240" w:lineRule="auto" w:before="0" w:after="0"/>
        <w:ind w:left="808" w:right="0" w:hanging="349"/>
        <w:jc w:val="left"/>
      </w:pPr>
      <w:r>
        <w:rPr>
          <w:color w:val="0D0D0D"/>
        </w:rPr>
        <w:t>PLAZO DE</w:t>
      </w:r>
      <w:r>
        <w:rPr>
          <w:color w:val="0D0D0D"/>
          <w:spacing w:val="-2"/>
        </w:rPr>
        <w:t> </w:t>
      </w:r>
      <w:r>
        <w:rPr>
          <w:color w:val="0D0D0D"/>
        </w:rPr>
        <w:t>EJECUCIÓN</w:t>
      </w:r>
    </w:p>
    <w:p>
      <w:pPr>
        <w:pStyle w:val="BodyText"/>
        <w:spacing w:before="2"/>
        <w:rPr>
          <w:b/>
        </w:rPr>
      </w:pPr>
    </w:p>
    <w:p>
      <w:pPr>
        <w:pStyle w:val="BodyText"/>
        <w:ind w:left="100" w:right="115"/>
        <w:jc w:val="both"/>
      </w:pPr>
      <w:r>
        <w:rPr>
          <w:color w:val="0D0D0D"/>
        </w:rPr>
        <w:t>El      plazo      máximo      de      ejecución       de       las       obras       será      de       un      (1)      mes.  El adjudicatario presentará, previo a la firma del acta de comprobación de replanteo y comienzo de las obras, un programa detallado en tiempo y coste de estas.</w:t>
      </w:r>
    </w:p>
    <w:p>
      <w:pPr>
        <w:pStyle w:val="BodyText"/>
        <w:spacing w:before="12"/>
        <w:rPr>
          <w:sz w:val="23"/>
        </w:rPr>
      </w:pPr>
    </w:p>
    <w:p>
      <w:pPr>
        <w:pStyle w:val="Heading1"/>
        <w:ind w:right="116" w:firstLine="0"/>
        <w:jc w:val="both"/>
      </w:pPr>
      <w:r>
        <w:rPr>
          <w:color w:val="0D0D0D"/>
        </w:rPr>
        <w:t>Se redactará un Acta de Comprobación de Replanteo en la que se verifique la disponibilidad de terrenos, servicios y condiciones necesarias para el inicio de las obras.</w:t>
      </w:r>
    </w:p>
    <w:p>
      <w:pPr>
        <w:pStyle w:val="BodyText"/>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MEDIOS TÉCNICOS Y</w:t>
      </w:r>
      <w:r>
        <w:rPr>
          <w:b/>
          <w:color w:val="0D0D0D"/>
          <w:spacing w:val="-3"/>
          <w:sz w:val="24"/>
        </w:rPr>
        <w:t> </w:t>
      </w:r>
      <w:r>
        <w:rPr>
          <w:b/>
          <w:color w:val="0D0D0D"/>
          <w:sz w:val="24"/>
        </w:rPr>
        <w:t>HUMANOS</w:t>
      </w:r>
    </w:p>
    <w:p>
      <w:pPr>
        <w:pStyle w:val="BodyText"/>
        <w:spacing w:before="11"/>
        <w:rPr>
          <w:b/>
          <w:sz w:val="23"/>
        </w:rPr>
      </w:pPr>
    </w:p>
    <w:p>
      <w:pPr>
        <w:pStyle w:val="BodyText"/>
        <w:spacing w:before="1"/>
        <w:ind w:left="100" w:right="121"/>
        <w:jc w:val="both"/>
      </w:pPr>
      <w:r>
        <w:rPr>
          <w:color w:val="0D0D0D"/>
        </w:rPr>
        <w:t>La adecuación y el alcance de los medios materiales y humanos para la realización de las obras será tal que puedan cumplirse los plazos establecidos y las calidades exigidas.</w:t>
      </w:r>
    </w:p>
    <w:p>
      <w:pPr>
        <w:pStyle w:val="BodyText"/>
        <w:spacing w:before="11"/>
        <w:rPr>
          <w:sz w:val="23"/>
        </w:rPr>
      </w:pPr>
    </w:p>
    <w:p>
      <w:pPr>
        <w:pStyle w:val="BodyText"/>
        <w:ind w:left="100" w:right="120"/>
        <w:jc w:val="both"/>
      </w:pPr>
      <w:r>
        <w:rPr>
          <w:color w:val="0D0D0D"/>
        </w:rPr>
        <w:t>Para la ejecución de las obras la empresa contratista deberá disponer en obra como mínimo los siguientes profesionales: responsable / s técnico a pie de obra (Arquitecto, Ingeniero Industrial / Ingeniero Técnico Industrial), un mando intermedio, Oficial de 1ª, oficial de 2ª, Peón, Oficial Pintor, Técnico para prevención y todo el necesario para la correcta ejecución de la obra, a jornada completa y dedicados exclusivamente a este obra de acuerdo a lo especificado en el proyecto.</w:t>
      </w:r>
    </w:p>
    <w:p>
      <w:pPr>
        <w:pStyle w:val="BodyText"/>
        <w:spacing w:before="2"/>
      </w:pPr>
    </w:p>
    <w:p>
      <w:pPr>
        <w:pStyle w:val="BodyText"/>
        <w:ind w:left="100" w:right="123"/>
        <w:jc w:val="both"/>
      </w:pPr>
      <w:r>
        <w:rPr>
          <w:color w:val="0D0D0D"/>
        </w:rPr>
        <w:t>La Dirección de las obras podrá suspender los trabajos, sin que de ello se deduzca alteración alguna de los términos y plazos del contrato, cuando no se realicen bajo la dirección del personal facultativo designado para los mismos.</w:t>
      </w:r>
    </w:p>
    <w:p>
      <w:pPr>
        <w:pStyle w:val="BodyText"/>
        <w:spacing w:before="12"/>
        <w:rPr>
          <w:sz w:val="23"/>
        </w:rPr>
      </w:pPr>
    </w:p>
    <w:p>
      <w:pPr>
        <w:pStyle w:val="BodyText"/>
        <w:ind w:left="100" w:right="121"/>
        <w:jc w:val="both"/>
      </w:pPr>
      <w:r>
        <w:rPr>
          <w:color w:val="0D0D0D"/>
        </w:rPr>
        <w:t>La Dirección de las obras podrá exigir del contratista la designación de nuevo personal facultativo cuando así lo requieran las necesidades de los trabajos. Se presumirá existe siempre dicho requisito en los casos de incumplimiento de las órdenes recibidas o de negativa a suscribir, con su</w:t>
      </w:r>
    </w:p>
    <w:p>
      <w:pPr>
        <w:spacing w:after="0"/>
        <w:jc w:val="both"/>
        <w:sectPr>
          <w:type w:val="continuous"/>
          <w:pgSz w:w="11910" w:h="16840"/>
          <w:pgMar w:top="1580" w:bottom="280" w:left="980" w:right="960"/>
        </w:sectPr>
      </w:pPr>
    </w:p>
    <w:p>
      <w:pPr>
        <w:pStyle w:val="BodyText"/>
        <w:rPr>
          <w:sz w:val="20"/>
        </w:rPr>
      </w:pPr>
      <w:r>
        <w:rPr/>
        <w:drawing>
          <wp:anchor distT="0" distB="0" distL="0" distR="0" allowOverlap="1" layoutInCell="1" locked="0" behindDoc="1" simplePos="0" relativeHeight="251451392">
            <wp:simplePos x="0" y="0"/>
            <wp:positionH relativeFrom="page">
              <wp:posOffset>0</wp:posOffset>
            </wp:positionH>
            <wp:positionV relativeFrom="page">
              <wp:posOffset>278825</wp:posOffset>
            </wp:positionV>
            <wp:extent cx="7560564" cy="10394250"/>
            <wp:effectExtent l="0" t="0" r="0" b="0"/>
            <wp:wrapNone/>
            <wp:docPr id="3" name="image1.jpeg"/>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7560564" cy="10394250"/>
                    </a:xfrm>
                    <a:prstGeom prst="rect">
                      <a:avLst/>
                    </a:prstGeom>
                  </pic:spPr>
                </pic:pic>
              </a:graphicData>
            </a:graphic>
          </wp:anchor>
        </w:drawing>
      </w:r>
    </w:p>
    <w:p>
      <w:pPr>
        <w:pStyle w:val="BodyText"/>
        <w:rPr>
          <w:sz w:val="20"/>
        </w:rPr>
      </w:pPr>
    </w:p>
    <w:p>
      <w:pPr>
        <w:pStyle w:val="BodyText"/>
        <w:spacing w:before="7"/>
        <w:rPr>
          <w:sz w:val="18"/>
        </w:rPr>
      </w:pPr>
    </w:p>
    <w:p>
      <w:pPr>
        <w:pStyle w:val="BodyText"/>
        <w:ind w:left="100" w:right="115"/>
        <w:jc w:val="both"/>
      </w:pPr>
      <w:r>
        <w:rPr>
          <w:color w:val="0D0D0D"/>
        </w:rPr>
        <w:t>conformidad o reparos, los documentos que reflejen el desarrollo de las obras, como partes de situación, datos de medición de elementos a ocultar, resultados de ensayos, órdenes de Dirección y análogos definidos por las disposiciones del Contrato o convenientes para el mejor desarrollo del mismo.</w:t>
      </w:r>
    </w:p>
    <w:p>
      <w:pPr>
        <w:pStyle w:val="BodyText"/>
        <w:spacing w:before="1"/>
      </w:pPr>
    </w:p>
    <w:p>
      <w:pPr>
        <w:pStyle w:val="Heading1"/>
        <w:numPr>
          <w:ilvl w:val="0"/>
          <w:numId w:val="1"/>
        </w:numPr>
        <w:tabs>
          <w:tab w:pos="809" w:val="left" w:leader="none"/>
        </w:tabs>
        <w:spacing w:line="240" w:lineRule="auto" w:before="0" w:after="0"/>
        <w:ind w:left="808" w:right="0" w:hanging="349"/>
        <w:jc w:val="left"/>
      </w:pPr>
      <w:r>
        <w:rPr>
          <w:color w:val="0D0D0D"/>
        </w:rPr>
        <w:t>CARACTERÍSTICAS DE LOS</w:t>
      </w:r>
      <w:r>
        <w:rPr>
          <w:color w:val="0D0D0D"/>
          <w:spacing w:val="-3"/>
        </w:rPr>
        <w:t> </w:t>
      </w:r>
      <w:r>
        <w:rPr>
          <w:color w:val="0D0D0D"/>
        </w:rPr>
        <w:t>MATERIALES</w:t>
      </w:r>
    </w:p>
    <w:p>
      <w:pPr>
        <w:pStyle w:val="BodyText"/>
        <w:rPr>
          <w:b/>
        </w:rPr>
      </w:pPr>
    </w:p>
    <w:p>
      <w:pPr>
        <w:pStyle w:val="BodyText"/>
        <w:ind w:left="100" w:right="111"/>
        <w:jc w:val="both"/>
      </w:pPr>
      <w:r>
        <w:rPr>
          <w:color w:val="0D0D0D"/>
        </w:rPr>
        <w:t>Todos los materiales utilizados en la obra deberán proceder de fábricas que ofrezcan plenas garantías y serán de primera calidad. Tendrán marcado CE, certificado de garantía y sellos de calidad según se establezca en el proyecto. Deberán cumplir la reglamentación vigente y lo especificado en el pliego de condiciones del</w:t>
      </w:r>
      <w:r>
        <w:rPr>
          <w:color w:val="0D0D0D"/>
          <w:spacing w:val="-2"/>
        </w:rPr>
        <w:t> </w:t>
      </w:r>
      <w:r>
        <w:rPr>
          <w:color w:val="0D0D0D"/>
        </w:rPr>
        <w:t>proyecto.</w:t>
      </w:r>
    </w:p>
    <w:p>
      <w:pPr>
        <w:pStyle w:val="BodyText"/>
      </w:pPr>
    </w:p>
    <w:p>
      <w:pPr>
        <w:pStyle w:val="BodyText"/>
        <w:ind w:left="100" w:right="120"/>
        <w:jc w:val="both"/>
      </w:pPr>
      <w:r>
        <w:rPr>
          <w:color w:val="0D0D0D"/>
        </w:rPr>
        <w:t>Cuando el pliego de prescripciones técnicas particulares no exija una determinada procedencia, el contratista notificará a la Dirección de las obras, con suficiente antelación, la procedencia de los materiales que se proponga utilizar, a fin de que pueda ordenar los ensayos necesarios para acreditar su idoneidad.</w:t>
      </w:r>
    </w:p>
    <w:p>
      <w:pPr>
        <w:pStyle w:val="BodyText"/>
        <w:spacing w:before="1"/>
      </w:pPr>
    </w:p>
    <w:p>
      <w:pPr>
        <w:pStyle w:val="BodyText"/>
        <w:ind w:left="100" w:right="116"/>
        <w:jc w:val="both"/>
      </w:pPr>
      <w:r>
        <w:rPr>
          <w:color w:val="0D0D0D"/>
        </w:rPr>
        <w:t>Los productos importados de otros Estados miembros de la Unión Europea podrán utilizarse siempre que aseguren un nivel de protección equivalente al exigido por la normativa española.</w:t>
      </w:r>
    </w:p>
    <w:p>
      <w:pPr>
        <w:pStyle w:val="BodyText"/>
        <w:ind w:left="100" w:right="117"/>
        <w:jc w:val="both"/>
      </w:pPr>
      <w:r>
        <w:rPr>
          <w:color w:val="0D0D0D"/>
        </w:rPr>
        <w:t>Si el pliego fijase la procedencia de determinados materiales y durante la ejecución de las obras se encontrasen otros idóneos que pudieran emplearse con ventaja técnica o económica, la Dirección de las obras podrá autorizar o, en su caso, ordenar el cambio a favor de estos.</w:t>
      </w:r>
    </w:p>
    <w:p>
      <w:pPr>
        <w:pStyle w:val="BodyText"/>
        <w:spacing w:before="11"/>
        <w:rPr>
          <w:sz w:val="23"/>
        </w:rPr>
      </w:pPr>
    </w:p>
    <w:p>
      <w:pPr>
        <w:pStyle w:val="Heading1"/>
        <w:spacing w:before="1"/>
        <w:ind w:right="124" w:firstLine="0"/>
        <w:jc w:val="both"/>
      </w:pPr>
      <w:r>
        <w:rPr>
          <w:color w:val="0D0D0D"/>
        </w:rPr>
        <w:t>Los materiales deberán cumplir con las tolerancias establecidas en las normas UNE o equivalentes aplicables. En caso de rechazo de materiales, el contratista deberá retirarlos de inmediato y reponerlos sin derecho a</w:t>
      </w:r>
      <w:r>
        <w:rPr>
          <w:color w:val="0D0D0D"/>
          <w:spacing w:val="-10"/>
        </w:rPr>
        <w:t> </w:t>
      </w:r>
      <w:r>
        <w:rPr>
          <w:color w:val="0D0D0D"/>
        </w:rPr>
        <w:t>indemnización.</w:t>
      </w:r>
    </w:p>
    <w:p>
      <w:pPr>
        <w:pStyle w:val="BodyText"/>
        <w:spacing w:before="11"/>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CARACTERÍSTICAS TÉCNICAS DE LAS</w:t>
      </w:r>
      <w:r>
        <w:rPr>
          <w:b/>
          <w:color w:val="0D0D0D"/>
          <w:spacing w:val="-6"/>
          <w:sz w:val="24"/>
        </w:rPr>
        <w:t> </w:t>
      </w:r>
      <w:r>
        <w:rPr>
          <w:b/>
          <w:color w:val="0D0D0D"/>
          <w:sz w:val="24"/>
        </w:rPr>
        <w:t>OBRAS</w:t>
      </w:r>
    </w:p>
    <w:p>
      <w:pPr>
        <w:pStyle w:val="BodyText"/>
        <w:rPr>
          <w:b/>
        </w:rPr>
      </w:pPr>
    </w:p>
    <w:p>
      <w:pPr>
        <w:pStyle w:val="BodyText"/>
        <w:ind w:left="100" w:right="118"/>
        <w:jc w:val="both"/>
      </w:pPr>
      <w:r>
        <w:rPr>
          <w:color w:val="0D0D0D"/>
        </w:rPr>
        <w:t>Las obras se regirán por las buenas prácticas constructivas y deberán cumplir la normativa vigente de aplicación, entre la que se incluye, con carácter orientativo y no limitativo:</w:t>
      </w:r>
    </w:p>
    <w:p>
      <w:pPr>
        <w:pStyle w:val="BodyText"/>
        <w:spacing w:before="2"/>
      </w:pP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Manuales técnicos específicos aplicables al tipo de obra a</w:t>
      </w:r>
      <w:r>
        <w:rPr>
          <w:color w:val="0D0D0D"/>
          <w:spacing w:val="-10"/>
          <w:sz w:val="24"/>
        </w:rPr>
        <w:t> </w:t>
      </w:r>
      <w:r>
        <w:rPr>
          <w:color w:val="0D0D0D"/>
          <w:sz w:val="24"/>
        </w:rPr>
        <w:t>ejecutar.</w:t>
      </w:r>
    </w:p>
    <w:p>
      <w:pPr>
        <w:pStyle w:val="ListParagraph"/>
        <w:numPr>
          <w:ilvl w:val="0"/>
          <w:numId w:val="2"/>
        </w:numPr>
        <w:tabs>
          <w:tab w:pos="820" w:val="left" w:leader="none"/>
          <w:tab w:pos="821" w:val="left" w:leader="none"/>
        </w:tabs>
        <w:spacing w:line="240" w:lineRule="auto" w:before="0" w:after="0"/>
        <w:ind w:left="820" w:right="118" w:hanging="360"/>
        <w:jc w:val="left"/>
        <w:rPr>
          <w:sz w:val="24"/>
        </w:rPr>
      </w:pPr>
      <w:r>
        <w:rPr>
          <w:color w:val="0D0D0D"/>
          <w:sz w:val="24"/>
        </w:rPr>
        <w:t>Real Decreto </w:t>
      </w:r>
      <w:r>
        <w:rPr>
          <w:b/>
          <w:color w:val="0D0D0D"/>
          <w:sz w:val="24"/>
        </w:rPr>
        <w:t>163/20198, de 22 de marzo</w:t>
      </w:r>
      <w:r>
        <w:rPr>
          <w:color w:val="0D0D0D"/>
          <w:sz w:val="24"/>
        </w:rPr>
        <w:t>, relativo al control de producción de materiales de construcción.</w:t>
      </w:r>
    </w:p>
    <w:p>
      <w:pPr>
        <w:pStyle w:val="ListParagraph"/>
        <w:numPr>
          <w:ilvl w:val="0"/>
          <w:numId w:val="2"/>
        </w:numPr>
        <w:tabs>
          <w:tab w:pos="820" w:val="left" w:leader="none"/>
          <w:tab w:pos="821" w:val="left" w:leader="none"/>
        </w:tabs>
        <w:spacing w:line="293" w:lineRule="exact" w:before="0" w:after="0"/>
        <w:ind w:left="820" w:right="0" w:hanging="361"/>
        <w:jc w:val="left"/>
        <w:rPr>
          <w:sz w:val="24"/>
        </w:rPr>
      </w:pPr>
      <w:r>
        <w:rPr>
          <w:color w:val="0D0D0D"/>
          <w:sz w:val="24"/>
        </w:rPr>
        <w:t>Código Estructural aprobado por Real Decreto</w:t>
      </w:r>
      <w:r>
        <w:rPr>
          <w:color w:val="0D0D0D"/>
          <w:spacing w:val="-5"/>
          <w:sz w:val="24"/>
        </w:rPr>
        <w:t> </w:t>
      </w:r>
      <w:r>
        <w:rPr>
          <w:color w:val="0D0D0D"/>
          <w:sz w:val="24"/>
        </w:rPr>
        <w:t>470/2021.</w:t>
      </w:r>
    </w:p>
    <w:p>
      <w:pPr>
        <w:pStyle w:val="ListParagraph"/>
        <w:numPr>
          <w:ilvl w:val="0"/>
          <w:numId w:val="2"/>
        </w:numPr>
        <w:tabs>
          <w:tab w:pos="820" w:val="left" w:leader="none"/>
          <w:tab w:pos="821" w:val="left" w:leader="none"/>
        </w:tabs>
        <w:spacing w:line="240" w:lineRule="auto" w:before="0" w:after="0"/>
        <w:ind w:left="820" w:right="117" w:hanging="360"/>
        <w:jc w:val="left"/>
        <w:rPr>
          <w:sz w:val="24"/>
        </w:rPr>
      </w:pPr>
      <w:r>
        <w:rPr>
          <w:color w:val="0D0D0D"/>
          <w:sz w:val="24"/>
        </w:rPr>
        <w:t>Real Decreto 105/2008, de 1 de agosto, sobre gestión de residuos de construcción y demolición.</w:t>
      </w:r>
    </w:p>
    <w:p>
      <w:pPr>
        <w:pStyle w:val="ListParagraph"/>
        <w:numPr>
          <w:ilvl w:val="0"/>
          <w:numId w:val="2"/>
        </w:numPr>
        <w:tabs>
          <w:tab w:pos="820" w:val="left" w:leader="none"/>
          <w:tab w:pos="821" w:val="left" w:leader="none"/>
        </w:tabs>
        <w:spacing w:line="293" w:lineRule="exact" w:before="0" w:after="0"/>
        <w:ind w:left="820" w:right="0" w:hanging="361"/>
        <w:jc w:val="left"/>
        <w:rPr>
          <w:sz w:val="24"/>
        </w:rPr>
      </w:pPr>
      <w:r>
        <w:rPr>
          <w:color w:val="0D0D0D"/>
          <w:sz w:val="24"/>
        </w:rPr>
        <w:t>Real Decreto 1627/1997, de 24 de octubre, sobre seguridad y salud en las</w:t>
      </w:r>
      <w:r>
        <w:rPr>
          <w:color w:val="0D0D0D"/>
          <w:spacing w:val="-16"/>
          <w:sz w:val="24"/>
        </w:rPr>
        <w:t> </w:t>
      </w:r>
      <w:r>
        <w:rPr>
          <w:color w:val="0D0D0D"/>
          <w:sz w:val="24"/>
        </w:rPr>
        <w:t>obras.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9/2017, de 8 de noviembre, de Contratos del Sector</w:t>
      </w:r>
      <w:r>
        <w:rPr>
          <w:color w:val="0D0D0D"/>
          <w:spacing w:val="-11"/>
          <w:sz w:val="24"/>
        </w:rPr>
        <w:t> </w:t>
      </w:r>
      <w:r>
        <w:rPr>
          <w:color w:val="0D0D0D"/>
          <w:sz w:val="24"/>
        </w:rPr>
        <w:t>Público.</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Ley 7/1985, de 2 de abril, Reguladora de las Bases del Régimen</w:t>
      </w:r>
      <w:r>
        <w:rPr>
          <w:color w:val="0D0D0D"/>
          <w:spacing w:val="-10"/>
          <w:sz w:val="24"/>
        </w:rPr>
        <w:t> </w:t>
      </w:r>
      <w:r>
        <w:rPr>
          <w:color w:val="0D0D0D"/>
          <w:sz w:val="24"/>
        </w:rPr>
        <w:t>Local.</w:t>
      </w:r>
    </w:p>
    <w:p>
      <w:pPr>
        <w:pStyle w:val="ListParagraph"/>
        <w:numPr>
          <w:ilvl w:val="0"/>
          <w:numId w:val="2"/>
        </w:numPr>
        <w:tabs>
          <w:tab w:pos="820" w:val="left" w:leader="none"/>
          <w:tab w:pos="821" w:val="left" w:leader="none"/>
        </w:tabs>
        <w:spacing w:line="240" w:lineRule="auto" w:before="0" w:after="0"/>
        <w:ind w:left="820" w:right="123" w:hanging="360"/>
        <w:jc w:val="left"/>
        <w:rPr>
          <w:sz w:val="24"/>
        </w:rPr>
      </w:pPr>
      <w:r>
        <w:rPr>
          <w:color w:val="0D0D0D"/>
          <w:sz w:val="24"/>
        </w:rPr>
        <w:t>Reglamento General de la Ley de Contratos de las Administraciones Públicas (RD 1098/2001).</w:t>
      </w:r>
    </w:p>
    <w:p>
      <w:pPr>
        <w:spacing w:after="0" w:line="240" w:lineRule="auto"/>
        <w:jc w:val="left"/>
        <w:rPr>
          <w:sz w:val="24"/>
        </w:rPr>
        <w:sectPr>
          <w:pgSz w:w="11910" w:h="16840"/>
          <w:pgMar w:top="1580" w:bottom="280" w:left="980" w:right="960"/>
        </w:sectPr>
      </w:pPr>
    </w:p>
    <w:p>
      <w:pPr>
        <w:pStyle w:val="BodyText"/>
        <w:rPr>
          <w:sz w:val="20"/>
        </w:rPr>
      </w:pPr>
      <w:r>
        <w:rPr/>
        <w:drawing>
          <wp:anchor distT="0" distB="0" distL="0" distR="0" allowOverlap="1" layoutInCell="1" locked="0" behindDoc="1" simplePos="0" relativeHeight="251452416">
            <wp:simplePos x="0" y="0"/>
            <wp:positionH relativeFrom="page">
              <wp:posOffset>0</wp:posOffset>
            </wp:positionH>
            <wp:positionV relativeFrom="page">
              <wp:posOffset>278825</wp:posOffset>
            </wp:positionV>
            <wp:extent cx="7560564" cy="10394250"/>
            <wp:effectExtent l="0" t="0" r="0" b="0"/>
            <wp:wrapNone/>
            <wp:docPr id="5" name="image1.jpeg"/>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560564" cy="10394250"/>
                    </a:xfrm>
                    <a:prstGeom prst="rect">
                      <a:avLst/>
                    </a:prstGeom>
                  </pic:spPr>
                </pic:pic>
              </a:graphicData>
            </a:graphic>
          </wp:anchor>
        </w:drawing>
      </w:r>
    </w:p>
    <w:p>
      <w:pPr>
        <w:pStyle w:val="BodyText"/>
        <w:rPr>
          <w:sz w:val="20"/>
        </w:rPr>
      </w:pPr>
    </w:p>
    <w:p>
      <w:pPr>
        <w:pStyle w:val="ListParagraph"/>
        <w:numPr>
          <w:ilvl w:val="0"/>
          <w:numId w:val="2"/>
        </w:numPr>
        <w:tabs>
          <w:tab w:pos="820" w:val="left" w:leader="none"/>
          <w:tab w:pos="821" w:val="left" w:leader="none"/>
        </w:tabs>
        <w:spacing w:line="240" w:lineRule="auto" w:before="227" w:after="0"/>
        <w:ind w:left="820" w:right="0" w:hanging="361"/>
        <w:jc w:val="left"/>
        <w:rPr>
          <w:sz w:val="24"/>
        </w:rPr>
      </w:pPr>
      <w:r>
        <w:rPr>
          <w:color w:val="0D0D0D"/>
          <w:sz w:val="24"/>
        </w:rPr>
        <w:t>Orden TMA/851/2021, accesibilidad en espacios</w:t>
      </w:r>
      <w:r>
        <w:rPr>
          <w:color w:val="0D0D0D"/>
          <w:spacing w:val="-8"/>
          <w:sz w:val="24"/>
        </w:rPr>
        <w:t> </w:t>
      </w:r>
      <w:r>
        <w:rPr>
          <w:color w:val="0D0D0D"/>
          <w:sz w:val="24"/>
        </w:rPr>
        <w:t>urbanizados.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Normas 6.1-IC “Sección de firme” y 8.2-IC “Marcas</w:t>
      </w:r>
      <w:r>
        <w:rPr>
          <w:color w:val="0D0D0D"/>
          <w:spacing w:val="-9"/>
          <w:sz w:val="24"/>
        </w:rPr>
        <w:t> </w:t>
      </w:r>
      <w:r>
        <w:rPr>
          <w:color w:val="0D0D0D"/>
          <w:sz w:val="24"/>
        </w:rPr>
        <w:t>viales”.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Criterios de sistemas de contención, Orden Circular</w:t>
      </w:r>
      <w:r>
        <w:rPr>
          <w:color w:val="0D0D0D"/>
          <w:spacing w:val="-8"/>
          <w:sz w:val="24"/>
        </w:rPr>
        <w:t> </w:t>
      </w:r>
      <w:r>
        <w:rPr>
          <w:color w:val="0D0D0D"/>
          <w:sz w:val="24"/>
        </w:rPr>
        <w:t>35/2014.</w:t>
      </w: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Y demás normativa</w:t>
      </w:r>
      <w:r>
        <w:rPr>
          <w:color w:val="0D0D0D"/>
          <w:spacing w:val="-2"/>
          <w:sz w:val="24"/>
        </w:rPr>
        <w:t> </w:t>
      </w:r>
      <w:r>
        <w:rPr>
          <w:color w:val="0D0D0D"/>
          <w:sz w:val="24"/>
        </w:rPr>
        <w:t>vigente.</w:t>
      </w:r>
    </w:p>
    <w:p>
      <w:pPr>
        <w:pStyle w:val="BodyText"/>
      </w:pPr>
    </w:p>
    <w:p>
      <w:pPr>
        <w:pStyle w:val="Heading1"/>
        <w:ind w:right="119" w:firstLine="0"/>
        <w:jc w:val="both"/>
      </w:pPr>
      <w:r>
        <w:rPr>
          <w:color w:val="0D0D0D"/>
        </w:rPr>
        <w:t>El contratista será responsable de disponer en obra un ejemplar actualizado de toda la normativa técnica de aplicación, accesible a la Dirección Facultativa y al personal de obra.</w:t>
      </w:r>
    </w:p>
    <w:p>
      <w:pPr>
        <w:pStyle w:val="BodyText"/>
        <w:spacing w:before="12"/>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CONTROL, ENSAYOS Y ANÁLISIS DE MATERIALES Y UNIDADES DE</w:t>
      </w:r>
      <w:r>
        <w:rPr>
          <w:b/>
          <w:color w:val="0D0D0D"/>
          <w:spacing w:val="-9"/>
          <w:sz w:val="24"/>
        </w:rPr>
        <w:t> </w:t>
      </w:r>
      <w:r>
        <w:rPr>
          <w:b/>
          <w:color w:val="0D0D0D"/>
          <w:sz w:val="24"/>
        </w:rPr>
        <w:t>OBRA</w:t>
      </w:r>
    </w:p>
    <w:p>
      <w:pPr>
        <w:pStyle w:val="BodyText"/>
        <w:spacing w:before="11"/>
        <w:rPr>
          <w:b/>
          <w:sz w:val="23"/>
        </w:rPr>
      </w:pPr>
    </w:p>
    <w:p>
      <w:pPr>
        <w:pStyle w:val="BodyText"/>
        <w:spacing w:before="1"/>
        <w:ind w:left="100" w:right="123"/>
        <w:jc w:val="both"/>
      </w:pPr>
      <w:r>
        <w:rPr>
          <w:color w:val="0D0D0D"/>
        </w:rPr>
        <w:t>Los costes ocasionados con motivo de las pruebas, ensayos de control de materiales, unidades de obra y certificaciones de garantía de calidad serán por cuenta del contratista.</w:t>
      </w:r>
    </w:p>
    <w:p>
      <w:pPr>
        <w:pStyle w:val="BodyText"/>
      </w:pPr>
    </w:p>
    <w:p>
      <w:pPr>
        <w:pStyle w:val="BodyText"/>
        <w:ind w:left="100" w:right="121"/>
        <w:jc w:val="both"/>
      </w:pPr>
      <w:r>
        <w:rPr>
          <w:color w:val="0D0D0D"/>
        </w:rPr>
        <w:t>Será preceptiva la realización de los ensayos mencionados expresamente en este Pliego o en la normativa técnica aplicable.</w:t>
      </w:r>
    </w:p>
    <w:p>
      <w:pPr>
        <w:pStyle w:val="BodyText"/>
        <w:spacing w:before="11"/>
        <w:rPr>
          <w:sz w:val="23"/>
        </w:rPr>
      </w:pPr>
    </w:p>
    <w:p>
      <w:pPr>
        <w:pStyle w:val="BodyText"/>
        <w:spacing w:line="242" w:lineRule="auto"/>
        <w:ind w:left="100" w:right="120"/>
        <w:jc w:val="both"/>
      </w:pPr>
      <w:r>
        <w:rPr>
          <w:color w:val="0D0D0D"/>
        </w:rPr>
        <w:t>En relación con productos importados de la UE, no será precisa la realización </w:t>
      </w:r>
      <w:r>
        <w:rPr>
          <w:color w:val="0D0D0D"/>
          <w:spacing w:val="3"/>
        </w:rPr>
        <w:t>de </w:t>
      </w:r>
      <w:r>
        <w:rPr>
          <w:color w:val="0D0D0D"/>
        </w:rPr>
        <w:t>nuevos ensayos si la documentación acreditativa demuestra</w:t>
      </w:r>
      <w:r>
        <w:rPr>
          <w:color w:val="0D0D0D"/>
          <w:spacing w:val="-3"/>
        </w:rPr>
        <w:t> </w:t>
      </w:r>
      <w:r>
        <w:rPr>
          <w:color w:val="0D0D0D"/>
        </w:rPr>
        <w:t>equivalencia.</w:t>
      </w:r>
    </w:p>
    <w:p>
      <w:pPr>
        <w:pStyle w:val="BodyText"/>
        <w:spacing w:before="8"/>
        <w:rPr>
          <w:sz w:val="23"/>
        </w:rPr>
      </w:pPr>
    </w:p>
    <w:p>
      <w:pPr>
        <w:pStyle w:val="BodyText"/>
        <w:spacing w:before="1"/>
        <w:ind w:left="100" w:right="122"/>
        <w:jc w:val="both"/>
      </w:pPr>
      <w:r>
        <w:rPr>
          <w:color w:val="0D0D0D"/>
        </w:rPr>
        <w:t>Cuando el contratista presente una hoja de ensayos suscrita por laboratorio acreditado, únicamente se realizarán los ensayos necesarios para comprobar que el producto no ha sido alterado durante procesos posteriores.</w:t>
      </w:r>
    </w:p>
    <w:p>
      <w:pPr>
        <w:pStyle w:val="BodyText"/>
        <w:spacing w:before="11"/>
        <w:rPr>
          <w:sz w:val="23"/>
        </w:rPr>
      </w:pPr>
    </w:p>
    <w:p>
      <w:pPr>
        <w:pStyle w:val="Heading1"/>
        <w:ind w:right="116" w:firstLine="0"/>
        <w:jc w:val="both"/>
      </w:pPr>
      <w:r>
        <w:rPr>
          <w:color w:val="0D0D0D"/>
        </w:rPr>
        <w:t>Todos los ensayos deberán realizarse en laboratorios acreditados según la norma UNE-EN ISO/IEC 17025 o equivalente.</w:t>
      </w:r>
    </w:p>
    <w:p>
      <w:pPr>
        <w:pStyle w:val="BodyText"/>
        <w:rPr>
          <w:b/>
        </w:rPr>
      </w:pPr>
    </w:p>
    <w:p>
      <w:pPr>
        <w:spacing w:before="0"/>
        <w:ind w:left="100" w:right="124" w:firstLine="0"/>
        <w:jc w:val="both"/>
        <w:rPr>
          <w:b/>
          <w:sz w:val="24"/>
        </w:rPr>
      </w:pPr>
      <w:r>
        <w:rPr>
          <w:b/>
          <w:color w:val="0D0D0D"/>
          <w:sz w:val="24"/>
        </w:rPr>
        <w:t>El contratista deberá conservar y entregar a la Dirección Facultativa un registro documental de todos los ensayos realizados, que formará parte de la documentación de la obra.</w:t>
      </w:r>
    </w:p>
    <w:p>
      <w:pPr>
        <w:pStyle w:val="BodyText"/>
        <w:spacing w:before="12"/>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INSTALACIONES Y MEDIDAS DE SEGURIDAD Y</w:t>
      </w:r>
      <w:r>
        <w:rPr>
          <w:b/>
          <w:color w:val="0D0D0D"/>
          <w:spacing w:val="-5"/>
          <w:sz w:val="24"/>
        </w:rPr>
        <w:t> </w:t>
      </w:r>
      <w:r>
        <w:rPr>
          <w:b/>
          <w:color w:val="0D0D0D"/>
          <w:sz w:val="24"/>
        </w:rPr>
        <w:t>SALUD</w:t>
      </w:r>
    </w:p>
    <w:p>
      <w:pPr>
        <w:pStyle w:val="BodyText"/>
        <w:spacing w:before="2"/>
        <w:rPr>
          <w:b/>
        </w:rPr>
      </w:pPr>
    </w:p>
    <w:p>
      <w:pPr>
        <w:pStyle w:val="BodyText"/>
        <w:ind w:left="100" w:right="126"/>
        <w:jc w:val="both"/>
      </w:pPr>
      <w:r>
        <w:rPr>
          <w:color w:val="0D0D0D"/>
        </w:rPr>
        <w:t>El contratista deberá elaborar un Plan de Seguridad y Salud en el Trabajo en el que se desarrollen las previsiones del Estudio o Estudio Básico de Seguridad y</w:t>
      </w:r>
      <w:r>
        <w:rPr>
          <w:color w:val="0D0D0D"/>
          <w:spacing w:val="-5"/>
        </w:rPr>
        <w:t> </w:t>
      </w:r>
      <w:r>
        <w:rPr>
          <w:color w:val="0D0D0D"/>
        </w:rPr>
        <w:t>Salud.</w:t>
      </w:r>
    </w:p>
    <w:p>
      <w:pPr>
        <w:pStyle w:val="BodyText"/>
        <w:spacing w:before="11"/>
        <w:rPr>
          <w:sz w:val="23"/>
        </w:rPr>
      </w:pPr>
    </w:p>
    <w:p>
      <w:pPr>
        <w:pStyle w:val="BodyText"/>
        <w:spacing w:before="1"/>
        <w:ind w:left="100" w:right="115"/>
        <w:jc w:val="both"/>
      </w:pPr>
      <w:r>
        <w:rPr>
          <w:color w:val="0D0D0D"/>
        </w:rPr>
        <w:t>El Plan deberá ser aprobado, antes del inicio de la obra, por el Coordinador de Seguridad y Salud durante la ejecución.</w:t>
      </w:r>
    </w:p>
    <w:p>
      <w:pPr>
        <w:pStyle w:val="BodyText"/>
        <w:spacing w:before="12"/>
        <w:rPr>
          <w:sz w:val="23"/>
        </w:rPr>
      </w:pPr>
    </w:p>
    <w:p>
      <w:pPr>
        <w:pStyle w:val="BodyText"/>
        <w:ind w:left="100" w:right="124"/>
        <w:jc w:val="both"/>
      </w:pPr>
      <w:r>
        <w:rPr>
          <w:color w:val="0D0D0D"/>
        </w:rPr>
        <w:t>Cuando no sea necesaria la designación de Coordinador, las funciones serán asumidas por la Dirección Facultativa.</w:t>
      </w:r>
    </w:p>
    <w:p>
      <w:pPr>
        <w:pStyle w:val="BodyText"/>
        <w:spacing w:before="11"/>
        <w:rPr>
          <w:sz w:val="23"/>
        </w:rPr>
      </w:pPr>
    </w:p>
    <w:p>
      <w:pPr>
        <w:pStyle w:val="BodyText"/>
        <w:spacing w:before="1"/>
        <w:ind w:left="100" w:right="115"/>
        <w:jc w:val="both"/>
      </w:pPr>
      <w:r>
        <w:rPr>
          <w:color w:val="0D0D0D"/>
        </w:rPr>
        <w:t>El Plan podrá ser modificado durante la ejecución de la obra en función de incidencias o modificaciones, siempre con la aprobación expresa.</w:t>
      </w:r>
    </w:p>
    <w:p>
      <w:pPr>
        <w:spacing w:after="0"/>
        <w:jc w:val="both"/>
        <w:sectPr>
          <w:pgSz w:w="11910" w:h="16840"/>
          <w:pgMar w:top="1580" w:bottom="280" w:left="980" w:right="960"/>
        </w:sectPr>
      </w:pPr>
    </w:p>
    <w:p>
      <w:pPr>
        <w:pStyle w:val="BodyText"/>
        <w:rPr>
          <w:sz w:val="20"/>
        </w:rPr>
      </w:pPr>
      <w:r>
        <w:rPr/>
        <w:drawing>
          <wp:anchor distT="0" distB="0" distL="0" distR="0" allowOverlap="1" layoutInCell="1" locked="0" behindDoc="1" simplePos="0" relativeHeight="251453440">
            <wp:simplePos x="0" y="0"/>
            <wp:positionH relativeFrom="page">
              <wp:posOffset>0</wp:posOffset>
            </wp:positionH>
            <wp:positionV relativeFrom="page">
              <wp:posOffset>278825</wp:posOffset>
            </wp:positionV>
            <wp:extent cx="7560564" cy="10394250"/>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7560564" cy="10394250"/>
                    </a:xfrm>
                    <a:prstGeom prst="rect">
                      <a:avLst/>
                    </a:prstGeom>
                  </pic:spPr>
                </pic:pic>
              </a:graphicData>
            </a:graphic>
          </wp:anchor>
        </w:drawing>
      </w:r>
    </w:p>
    <w:p>
      <w:pPr>
        <w:pStyle w:val="BodyText"/>
        <w:rPr>
          <w:sz w:val="20"/>
        </w:rPr>
      </w:pPr>
    </w:p>
    <w:p>
      <w:pPr>
        <w:pStyle w:val="BodyText"/>
        <w:spacing w:before="7"/>
        <w:rPr>
          <w:sz w:val="18"/>
        </w:rPr>
      </w:pPr>
    </w:p>
    <w:p>
      <w:pPr>
        <w:pStyle w:val="Heading1"/>
        <w:ind w:right="126" w:firstLine="0"/>
        <w:jc w:val="both"/>
      </w:pPr>
      <w:r>
        <w:rPr>
          <w:color w:val="0D0D0D"/>
        </w:rPr>
        <w:t>El Plan de Seguridad y Salud deberá incluir protocolos de actuación en emergencias, medidas específicas de coordinación empresarial, y la obligación de formación preventiva para todo el personal de obra.</w:t>
      </w:r>
    </w:p>
    <w:p>
      <w:pPr>
        <w:pStyle w:val="BodyText"/>
        <w:spacing w:before="1"/>
        <w:rPr>
          <w:b/>
        </w:rPr>
      </w:pPr>
    </w:p>
    <w:p>
      <w:pPr>
        <w:spacing w:before="1"/>
        <w:ind w:left="100" w:right="126" w:firstLine="0"/>
        <w:jc w:val="both"/>
        <w:rPr>
          <w:b/>
          <w:sz w:val="24"/>
        </w:rPr>
      </w:pPr>
      <w:r>
        <w:rPr>
          <w:b/>
          <w:color w:val="0D0D0D"/>
          <w:sz w:val="24"/>
        </w:rPr>
        <w:t>Se dispondrá en obra de un botiquín de primeros auxilios, zona de descanso adecuada y equipos de protección individual y colectiva suficientes para todos los trabajadores.</w:t>
      </w:r>
    </w:p>
    <w:p>
      <w:pPr>
        <w:pStyle w:val="BodyText"/>
        <w:spacing w:before="11"/>
        <w:rPr>
          <w:b/>
          <w:sz w:val="23"/>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PERMISOS</w:t>
      </w:r>
    </w:p>
    <w:p>
      <w:pPr>
        <w:pStyle w:val="BodyText"/>
        <w:rPr>
          <w:b/>
        </w:rPr>
      </w:pPr>
    </w:p>
    <w:p>
      <w:pPr>
        <w:pStyle w:val="BodyText"/>
        <w:ind w:left="100" w:right="118"/>
        <w:jc w:val="both"/>
      </w:pPr>
      <w:r>
        <w:rPr>
          <w:color w:val="0D0D0D"/>
        </w:rPr>
        <w:t>Todos los permisos, autorizaciones y licencias necesarios para la correcta realización de las obras serán gestionados y costeados por el contratista adjudicatario.</w:t>
      </w:r>
    </w:p>
    <w:p>
      <w:pPr>
        <w:pStyle w:val="BodyText"/>
      </w:pPr>
    </w:p>
    <w:p>
      <w:pPr>
        <w:pStyle w:val="Heading1"/>
        <w:ind w:right="120" w:firstLine="0"/>
        <w:jc w:val="both"/>
      </w:pPr>
      <w:r>
        <w:rPr>
          <w:color w:val="0D0D0D"/>
        </w:rPr>
        <w:t>El contratista será responsable de abonar las tasas y cánones derivados de dichas autorizaciones y de mantenerlos en vigor durante todo el periodo de ejecución de las</w:t>
      </w:r>
      <w:r>
        <w:rPr>
          <w:color w:val="0D0D0D"/>
          <w:spacing w:val="-6"/>
        </w:rPr>
        <w:t> </w:t>
      </w:r>
      <w:r>
        <w:rPr>
          <w:color w:val="0D0D0D"/>
        </w:rPr>
        <w:t>obras.</w:t>
      </w:r>
    </w:p>
    <w:p>
      <w:pPr>
        <w:pStyle w:val="BodyText"/>
        <w:spacing w:before="11"/>
        <w:rPr>
          <w:b/>
          <w:sz w:val="23"/>
        </w:rPr>
      </w:pPr>
    </w:p>
    <w:p>
      <w:pPr>
        <w:pStyle w:val="ListParagraph"/>
        <w:numPr>
          <w:ilvl w:val="0"/>
          <w:numId w:val="1"/>
        </w:numPr>
        <w:tabs>
          <w:tab w:pos="809" w:val="left" w:leader="none"/>
        </w:tabs>
        <w:spacing w:line="240" w:lineRule="auto" w:before="1" w:after="0"/>
        <w:ind w:left="808" w:right="0" w:hanging="349"/>
        <w:jc w:val="left"/>
        <w:rPr>
          <w:b/>
          <w:sz w:val="24"/>
        </w:rPr>
      </w:pPr>
      <w:r>
        <w:rPr>
          <w:b/>
          <w:color w:val="0D0D0D"/>
          <w:sz w:val="24"/>
        </w:rPr>
        <w:t>GASTOS DE CUENTA DEL</w:t>
      </w:r>
      <w:r>
        <w:rPr>
          <w:b/>
          <w:color w:val="0D0D0D"/>
          <w:spacing w:val="1"/>
          <w:sz w:val="24"/>
        </w:rPr>
        <w:t> </w:t>
      </w:r>
      <w:r>
        <w:rPr>
          <w:b/>
          <w:color w:val="0D0D0D"/>
          <w:sz w:val="24"/>
        </w:rPr>
        <w:t>CONTRATISTA</w:t>
      </w:r>
    </w:p>
    <w:p>
      <w:pPr>
        <w:pStyle w:val="BodyText"/>
        <w:spacing w:before="2"/>
        <w:rPr>
          <w:b/>
        </w:rPr>
      </w:pPr>
    </w:p>
    <w:p>
      <w:pPr>
        <w:pStyle w:val="BodyText"/>
        <w:ind w:left="100"/>
        <w:jc w:val="both"/>
      </w:pPr>
      <w:r>
        <w:rPr>
          <w:color w:val="0D0D0D"/>
        </w:rPr>
        <w:t>Serán de cuenta del contratista, a título indicativo y no limitativo, los siguientes gastos:</w:t>
      </w:r>
    </w:p>
    <w:p>
      <w:pPr>
        <w:pStyle w:val="BodyText"/>
        <w:spacing w:before="11"/>
        <w:rPr>
          <w:sz w:val="23"/>
        </w:rPr>
      </w:pPr>
    </w:p>
    <w:p>
      <w:pPr>
        <w:pStyle w:val="ListParagraph"/>
        <w:numPr>
          <w:ilvl w:val="0"/>
          <w:numId w:val="2"/>
        </w:numPr>
        <w:tabs>
          <w:tab w:pos="820" w:val="left" w:leader="none"/>
          <w:tab w:pos="821" w:val="left" w:leader="none"/>
        </w:tabs>
        <w:spacing w:line="240" w:lineRule="auto" w:before="1" w:after="0"/>
        <w:ind w:left="820" w:right="0" w:hanging="361"/>
        <w:jc w:val="left"/>
        <w:rPr>
          <w:sz w:val="24"/>
        </w:rPr>
      </w:pPr>
      <w:r>
        <w:rPr>
          <w:color w:val="0D0D0D"/>
          <w:sz w:val="24"/>
        </w:rPr>
        <w:t>Construcción, mantenimiento y retirada de instalaciones</w:t>
      </w:r>
      <w:r>
        <w:rPr>
          <w:color w:val="0D0D0D"/>
          <w:spacing w:val="-6"/>
          <w:sz w:val="24"/>
        </w:rPr>
        <w:t> </w:t>
      </w:r>
      <w:r>
        <w:rPr>
          <w:color w:val="0D0D0D"/>
          <w:sz w:val="24"/>
        </w:rPr>
        <w:t>auxiliares.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Alquiler o adquisición de terrenos para depósitos de maquinaria y</w:t>
      </w:r>
      <w:r>
        <w:rPr>
          <w:color w:val="0D0D0D"/>
          <w:spacing w:val="-13"/>
          <w:sz w:val="24"/>
        </w:rPr>
        <w:t> </w:t>
      </w:r>
      <w:r>
        <w:rPr>
          <w:color w:val="0D0D0D"/>
          <w:sz w:val="24"/>
        </w:rPr>
        <w:t>materiales.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Protección de acopios y de la propia obra contra deterioros, daños o</w:t>
      </w:r>
      <w:r>
        <w:rPr>
          <w:color w:val="0D0D0D"/>
          <w:spacing w:val="-17"/>
          <w:sz w:val="24"/>
        </w:rPr>
        <w:t> </w:t>
      </w:r>
      <w:r>
        <w:rPr>
          <w:color w:val="0D0D0D"/>
          <w:sz w:val="24"/>
        </w:rPr>
        <w:t>incendios.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Limpieza y evacuación de desperdicios y residuos</w:t>
      </w:r>
      <w:r>
        <w:rPr>
          <w:color w:val="0D0D0D"/>
          <w:spacing w:val="-6"/>
          <w:sz w:val="24"/>
        </w:rPr>
        <w:t> </w:t>
      </w:r>
      <w:r>
        <w:rPr>
          <w:color w:val="0D0D0D"/>
          <w:sz w:val="24"/>
        </w:rPr>
        <w:t>generados.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Conservación de desagües y obras provisionales de</w:t>
      </w:r>
      <w:r>
        <w:rPr>
          <w:color w:val="0D0D0D"/>
          <w:spacing w:val="-7"/>
          <w:sz w:val="24"/>
        </w:rPr>
        <w:t> </w:t>
      </w:r>
      <w:r>
        <w:rPr>
          <w:color w:val="0D0D0D"/>
          <w:sz w:val="24"/>
        </w:rPr>
        <w:t>drenaje.</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Suministro, colocación y conservación de señales de tráfico y elementos de</w:t>
      </w:r>
      <w:r>
        <w:rPr>
          <w:color w:val="0D0D0D"/>
          <w:spacing w:val="-24"/>
          <w:sz w:val="24"/>
        </w:rPr>
        <w:t> </w:t>
      </w:r>
      <w:r>
        <w:rPr>
          <w:color w:val="0D0D0D"/>
          <w:sz w:val="24"/>
        </w:rPr>
        <w:t>seguridad.</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instalaciones, herramientas, materiales y limpieza general de la</w:t>
      </w:r>
      <w:r>
        <w:rPr>
          <w:color w:val="0D0D0D"/>
          <w:spacing w:val="-11"/>
          <w:sz w:val="24"/>
        </w:rPr>
        <w:t> </w:t>
      </w:r>
      <w:r>
        <w:rPr>
          <w:color w:val="0D0D0D"/>
          <w:sz w:val="24"/>
        </w:rPr>
        <w:t>obra.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Montaje, conservación y retirada de instalaciones de agua y energía</w:t>
      </w:r>
      <w:r>
        <w:rPr>
          <w:color w:val="0D0D0D"/>
          <w:spacing w:val="-13"/>
          <w:sz w:val="24"/>
        </w:rPr>
        <w:t> </w:t>
      </w:r>
      <w:r>
        <w:rPr>
          <w:color w:val="0D0D0D"/>
          <w:sz w:val="24"/>
        </w:rPr>
        <w:t>eléctrica.</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Retirada de materiales rechazados y corrección de deficiencias</w:t>
      </w:r>
      <w:r>
        <w:rPr>
          <w:color w:val="0D0D0D"/>
          <w:spacing w:val="-11"/>
          <w:sz w:val="24"/>
        </w:rPr>
        <w:t> </w:t>
      </w:r>
      <w:r>
        <w:rPr>
          <w:color w:val="0D0D0D"/>
          <w:sz w:val="24"/>
        </w:rPr>
        <w:t>observadas.</w:t>
      </w:r>
    </w:p>
    <w:p>
      <w:pPr>
        <w:pStyle w:val="ListParagraph"/>
        <w:numPr>
          <w:ilvl w:val="0"/>
          <w:numId w:val="2"/>
        </w:numPr>
        <w:tabs>
          <w:tab w:pos="820" w:val="left" w:leader="none"/>
          <w:tab w:pos="821" w:val="left" w:leader="none"/>
        </w:tabs>
        <w:spacing w:line="240" w:lineRule="auto" w:before="0" w:after="0"/>
        <w:ind w:left="820" w:right="0" w:hanging="361"/>
        <w:jc w:val="left"/>
        <w:rPr>
          <w:sz w:val="24"/>
        </w:rPr>
      </w:pPr>
      <w:r>
        <w:rPr>
          <w:color w:val="0D0D0D"/>
          <w:sz w:val="24"/>
        </w:rPr>
        <w:t>Daños a terceros derivados de la ejecución de la obra, salvo excepciones</w:t>
      </w:r>
      <w:r>
        <w:rPr>
          <w:color w:val="0D0D0D"/>
          <w:spacing w:val="-16"/>
          <w:sz w:val="24"/>
        </w:rPr>
        <w:t> </w:t>
      </w:r>
      <w:r>
        <w:rPr>
          <w:color w:val="0D0D0D"/>
          <w:sz w:val="24"/>
        </w:rPr>
        <w:t>legales.</w:t>
      </w:r>
    </w:p>
    <w:p>
      <w:pPr>
        <w:pStyle w:val="BodyText"/>
        <w:spacing w:before="10"/>
        <w:rPr>
          <w:sz w:val="23"/>
        </w:rPr>
      </w:pPr>
    </w:p>
    <w:p>
      <w:pPr>
        <w:pStyle w:val="Heading1"/>
        <w:ind w:right="123" w:firstLine="0"/>
        <w:jc w:val="both"/>
      </w:pPr>
      <w:r>
        <w:rPr>
          <w:color w:val="0D0D0D"/>
        </w:rPr>
        <w:t>También serán de cuenta del contratista los consumos de agua, electricidad y comunicaciones necesarios para la obra, así como los gastos de gestión documental, seguros obligatorios y demás tasas municipales aplicables.</w:t>
      </w:r>
    </w:p>
    <w:p>
      <w:pPr>
        <w:pStyle w:val="BodyText"/>
        <w:spacing w:before="2"/>
        <w:rPr>
          <w:b/>
        </w:rPr>
      </w:pPr>
    </w:p>
    <w:p>
      <w:pPr>
        <w:pStyle w:val="ListParagraph"/>
        <w:numPr>
          <w:ilvl w:val="0"/>
          <w:numId w:val="1"/>
        </w:numPr>
        <w:tabs>
          <w:tab w:pos="809" w:val="left" w:leader="none"/>
        </w:tabs>
        <w:spacing w:line="240" w:lineRule="auto" w:before="0" w:after="0"/>
        <w:ind w:left="808" w:right="0" w:hanging="349"/>
        <w:jc w:val="left"/>
        <w:rPr>
          <w:b/>
          <w:sz w:val="24"/>
        </w:rPr>
      </w:pPr>
      <w:r>
        <w:rPr>
          <w:b/>
          <w:color w:val="0D0D0D"/>
          <w:sz w:val="24"/>
        </w:rPr>
        <w:t>PLANOS Y SERVICIOS AFECTADOS</w:t>
      </w:r>
    </w:p>
    <w:p>
      <w:pPr>
        <w:pStyle w:val="BodyText"/>
        <w:rPr>
          <w:b/>
        </w:rPr>
      </w:pPr>
    </w:p>
    <w:p>
      <w:pPr>
        <w:pStyle w:val="BodyText"/>
        <w:ind w:left="100" w:right="120"/>
        <w:jc w:val="both"/>
      </w:pPr>
      <w:r>
        <w:rPr>
          <w:color w:val="0D0D0D"/>
        </w:rPr>
        <w:t>El contratista deberá disponer en obra de los planos actualizados correspondientes al proyecto, que reflejen la situación real de todos los servicios existentes que puedan verse afectados por la ejecución de las obras (redes de agua, saneamiento, electricidad, telecomunicaciones, gas, etc.).</w:t>
      </w:r>
    </w:p>
    <w:p>
      <w:pPr>
        <w:pStyle w:val="BodyText"/>
        <w:spacing w:before="12"/>
        <w:rPr>
          <w:sz w:val="23"/>
        </w:rPr>
      </w:pPr>
    </w:p>
    <w:p>
      <w:pPr>
        <w:pStyle w:val="Heading1"/>
        <w:ind w:right="115" w:firstLine="0"/>
        <w:jc w:val="both"/>
      </w:pPr>
      <w:r>
        <w:rPr>
          <w:color w:val="0D0D0D"/>
        </w:rPr>
        <w:t>Será obligación del contratista comprobar sobre el terreno la ubicación exacta de dichos servicios y contrastarla con la documentación disponible, informando a la Dirección Facultativa de cualquier discrepancia detectada.</w:t>
      </w:r>
    </w:p>
    <w:p>
      <w:pPr>
        <w:spacing w:after="0"/>
        <w:jc w:val="both"/>
        <w:sectPr>
          <w:pgSz w:w="11910" w:h="16840"/>
          <w:pgMar w:top="1580" w:bottom="280" w:left="980" w:right="960"/>
        </w:sectPr>
      </w:pPr>
    </w:p>
    <w:p>
      <w:pPr>
        <w:pStyle w:val="BodyText"/>
        <w:rPr>
          <w:b/>
          <w:sz w:val="20"/>
        </w:rPr>
      </w:pPr>
      <w:r>
        <w:rPr/>
        <w:drawing>
          <wp:anchor distT="0" distB="0" distL="0" distR="0" allowOverlap="1" layoutInCell="1" locked="0" behindDoc="1" simplePos="0" relativeHeight="251458560">
            <wp:simplePos x="0" y="0"/>
            <wp:positionH relativeFrom="page">
              <wp:posOffset>0</wp:posOffset>
            </wp:positionH>
            <wp:positionV relativeFrom="page">
              <wp:posOffset>278825</wp:posOffset>
            </wp:positionV>
            <wp:extent cx="7560564" cy="10394250"/>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7560564" cy="10394250"/>
                    </a:xfrm>
                    <a:prstGeom prst="rect">
                      <a:avLst/>
                    </a:prstGeom>
                  </pic:spPr>
                </pic:pic>
              </a:graphicData>
            </a:graphic>
          </wp:anchor>
        </w:drawing>
      </w:r>
    </w:p>
    <w:p>
      <w:pPr>
        <w:pStyle w:val="BodyText"/>
        <w:rPr>
          <w:b/>
          <w:sz w:val="20"/>
        </w:rPr>
      </w:pPr>
    </w:p>
    <w:p>
      <w:pPr>
        <w:pStyle w:val="BodyText"/>
        <w:rPr>
          <w:b/>
          <w:sz w:val="20"/>
        </w:rPr>
      </w:pPr>
    </w:p>
    <w:p>
      <w:pPr>
        <w:pStyle w:val="BodyText"/>
        <w:spacing w:before="4"/>
        <w:rPr>
          <w:b/>
          <w:sz w:val="18"/>
        </w:rPr>
      </w:pPr>
    </w:p>
    <w:p>
      <w:pPr>
        <w:spacing w:line="240" w:lineRule="auto" w:before="51"/>
        <w:ind w:left="100" w:right="118" w:firstLine="0"/>
        <w:jc w:val="both"/>
        <w:rPr>
          <w:b/>
          <w:sz w:val="24"/>
        </w:rPr>
      </w:pPr>
      <w:r>
        <w:rPr>
          <w:b/>
          <w:color w:val="0D0D0D"/>
          <w:sz w:val="24"/>
        </w:rPr>
        <w:t>El contratista será responsable de coordinar con las compañías suministradoras las posibles afecciones, cortes o reposiciones de servicio que puedan derivarse de la ejecución de las obras, debiendo obtener las autorizaciones necesarias antes de intervenir sobre dichos servicios.</w:t>
      </w:r>
    </w:p>
    <w:p>
      <w:pPr>
        <w:pStyle w:val="BodyText"/>
        <w:rPr>
          <w:b/>
        </w:rPr>
      </w:pPr>
    </w:p>
    <w:p>
      <w:pPr>
        <w:pStyle w:val="BodyText"/>
        <w:rPr>
          <w:b/>
        </w:rPr>
      </w:pPr>
    </w:p>
    <w:p>
      <w:pPr>
        <w:pStyle w:val="BodyText"/>
        <w:rPr>
          <w:b/>
        </w:rPr>
      </w:pPr>
    </w:p>
    <w:p>
      <w:pPr>
        <w:pStyle w:val="BodyText"/>
        <w:spacing w:before="1"/>
        <w:rPr>
          <w:b/>
        </w:rPr>
      </w:pPr>
    </w:p>
    <w:p>
      <w:pPr>
        <w:pStyle w:val="BodyText"/>
        <w:spacing w:before="1"/>
        <w:ind w:right="116"/>
        <w:jc w:val="right"/>
      </w:pPr>
      <w:r>
        <w:rPr/>
        <w:pict>
          <v:shapetype id="_x0000_t202" o:spt="202" coordsize="21600,21600" path="m,l,21600r21600,l21600,xe">
            <v:stroke joinstyle="miter"/>
            <v:path gradientshapeok="t" o:connecttype="rect"/>
          </v:shapetype>
          <v:shape style="position:absolute;margin-left:203.255005pt;margin-top:76.595802pt;width:245pt;height:41.05pt;mso-position-horizontal-relative:page;mso-position-vertical-relative:paragraph;z-index:-251858944" type="#_x0000_t202" filled="false" stroked="false">
            <v:textbox inset="0,0,0,0">
              <w:txbxContent>
                <w:p>
                  <w:pPr>
                    <w:tabs>
                      <w:tab w:pos="2703" w:val="left" w:leader="none"/>
                    </w:tabs>
                    <w:spacing w:line="376" w:lineRule="exact" w:before="1"/>
                    <w:ind w:left="0" w:right="0" w:firstLine="0"/>
                    <w:jc w:val="left"/>
                    <w:rPr>
                      <w:sz w:val="19"/>
                    </w:rPr>
                  </w:pPr>
                  <w:r>
                    <w:rPr>
                      <w:w w:val="105"/>
                      <w:sz w:val="34"/>
                    </w:rPr>
                    <w:t>Espino</w:t>
                  </w:r>
                  <w:r>
                    <w:rPr>
                      <w:spacing w:val="-13"/>
                      <w:w w:val="105"/>
                      <w:sz w:val="34"/>
                    </w:rPr>
                    <w:t> </w:t>
                  </w:r>
                  <w:r>
                    <w:rPr>
                      <w:w w:val="105"/>
                      <w:sz w:val="34"/>
                    </w:rPr>
                    <w:t>-</w:t>
                  </w:r>
                  <w:r>
                    <w:rPr>
                      <w:spacing w:val="-12"/>
                      <w:w w:val="105"/>
                      <w:sz w:val="34"/>
                    </w:rPr>
                    <w:t> </w:t>
                  </w:r>
                  <w:r>
                    <w:rPr>
                      <w:w w:val="105"/>
                      <w:sz w:val="34"/>
                    </w:rPr>
                    <w:t>DNI</w:t>
                    <w:tab/>
                  </w:r>
                  <w:r>
                    <w:rPr>
                      <w:w w:val="105"/>
                      <w:position w:val="4"/>
                      <w:sz w:val="19"/>
                    </w:rPr>
                    <w:t>42412857Y</w:t>
                  </w:r>
                </w:p>
                <w:p>
                  <w:pPr>
                    <w:tabs>
                      <w:tab w:pos="2703" w:val="left" w:leader="none"/>
                    </w:tabs>
                    <w:spacing w:line="103" w:lineRule="auto" w:before="25"/>
                    <w:ind w:left="0" w:right="0" w:firstLine="0"/>
                    <w:jc w:val="left"/>
                    <w:rPr>
                      <w:sz w:val="19"/>
                    </w:rPr>
                  </w:pPr>
                  <w:r>
                    <w:rPr>
                      <w:w w:val="105"/>
                      <w:position w:val="-20"/>
                      <w:sz w:val="34"/>
                    </w:rPr>
                    <w:t>42412857Y</w:t>
                    <w:tab/>
                  </w:r>
                  <w:r>
                    <w:rPr>
                      <w:w w:val="105"/>
                      <w:sz w:val="19"/>
                    </w:rPr>
                    <w:t>Fecha: 2025.10.09</w:t>
                  </w:r>
                  <w:r>
                    <w:rPr>
                      <w:spacing w:val="-36"/>
                      <w:w w:val="105"/>
                      <w:sz w:val="19"/>
                    </w:rPr>
                    <w:t> </w:t>
                  </w:r>
                  <w:r>
                    <w:rPr>
                      <w:spacing w:val="-3"/>
                      <w:w w:val="105"/>
                      <w:sz w:val="19"/>
                    </w:rPr>
                    <w:t>08:04:16</w:t>
                  </w:r>
                </w:p>
                <w:p>
                  <w:pPr>
                    <w:spacing w:line="156" w:lineRule="exact" w:before="0"/>
                    <w:ind w:left="2703" w:right="0" w:firstLine="0"/>
                    <w:jc w:val="left"/>
                    <w:rPr>
                      <w:sz w:val="19"/>
                    </w:rPr>
                  </w:pPr>
                  <w:r>
                    <w:rPr>
                      <w:w w:val="105"/>
                      <w:sz w:val="19"/>
                    </w:rPr>
                    <w:t>+01'00'</w:t>
                  </w:r>
                </w:p>
              </w:txbxContent>
            </v:textbox>
            <w10:wrap type="none"/>
          </v:shape>
        </w:pict>
      </w:r>
      <w:r>
        <w:rPr>
          <w:color w:val="0D0D0D"/>
        </w:rPr>
        <w:t>Tías, con fecha y firma al margen</w:t>
      </w:r>
    </w:p>
    <w:p>
      <w:pPr>
        <w:pStyle w:val="BodyText"/>
        <w:rPr>
          <w:sz w:val="20"/>
        </w:rPr>
      </w:pPr>
    </w:p>
    <w:p>
      <w:pPr>
        <w:pStyle w:val="BodyText"/>
        <w:rPr>
          <w:sz w:val="20"/>
        </w:rPr>
      </w:pPr>
    </w:p>
    <w:p>
      <w:pPr>
        <w:pStyle w:val="BodyText"/>
        <w:spacing w:before="7"/>
      </w:pPr>
      <w:r>
        <w:rPr/>
        <w:pict>
          <v:group style="position:absolute;margin-left:192.724304pt;margin-top:16.99342pt;width:262.6pt;height:73.650pt;mso-position-horizontal-relative:page;mso-position-vertical-relative:paragraph;z-index:-251652096;mso-wrap-distance-left:0;mso-wrap-distance-right:0" coordorigin="3854,340" coordsize="5252,1473">
            <v:shape style="position:absolute;left:6104;top:372;width:1233;height:1225" coordorigin="6104,372" coordsize="1233,1225" path="m6326,1338l6219,1408,6151,1475,6115,1533,6104,1576,6112,1592,6119,1596,6201,1596,6205,1594,6128,1594,6139,1548,6179,1484,6244,1410,6326,1338xm6632,372l6607,389,6594,427,6590,470,6589,500,6590,528,6592,558,6596,590,6601,622,6608,655,6615,689,6623,724,6632,758,6626,785,6610,834,6585,899,6553,977,6514,1064,6470,1155,6422,1248,6372,1337,6320,1419,6269,1489,6219,1545,6171,1581,6128,1594,6205,1594,6230,1578,6275,1536,6326,1474,6383,1392,6447,1288,6459,1284,6447,1284,6510,1171,6559,1075,6595,996,6622,929,6641,874,6654,827,6697,827,6697,826,6670,754,6680,690,6654,690,6640,635,6630,582,6624,532,6623,487,6623,468,6626,436,6634,402,6649,380,6680,380,6664,374,6632,372xm7306,1281l7294,1284,7285,1290,7278,1299,7276,1311,7276,1312,7278,1323,7285,1332,7294,1338,7306,1340,7319,1338,7325,1334,7293,1334,7282,1324,7282,1298,7293,1288,7325,1288,7319,1284,7306,1281xm7325,1288l7321,1288,7330,1298,7330,1324,7321,1334,7325,1334,7328,1332,7335,1323,7337,1312,7337,1311,7335,1299,7328,1290,7325,1288xm7315,1291l7294,1291,7294,1328,7301,1328,7301,1314,7317,1314,7316,1313,7312,1312,7312,1311,7320,1309,7301,1309,7301,1299,7319,1299,7318,1296,7315,1291xm7317,1314l7308,1314,7311,1318,7312,1322,7313,1328,7320,1328,7318,1322,7318,1316,7317,1314xm7319,1299l7309,1299,7312,1300,7312,1308,7308,1309,7320,1309,7320,1304,7319,1299xm6697,827l6654,827,6708,939,6764,1023,6819,1083,6870,1123,6912,1150,6837,1164,6760,1181,6681,1202,6602,1226,6524,1253,6447,1284,6459,1284,6513,1266,6582,1247,6656,1230,6731,1214,6807,1201,6883,1190,6958,1181,7052,1181,7032,1172,7098,1169,7312,1169,7279,1151,7232,1141,6977,1141,6948,1124,6919,1106,6891,1087,6864,1068,6813,1018,6768,960,6730,895,6697,827xm7052,1181l6958,1181,7040,1218,7122,1246,7197,1264,7259,1270,7285,1268,7305,1263,7318,1254,7320,1250,7286,1250,7236,1244,7174,1228,7105,1204,7052,1181xm7325,1241l7316,1245,7302,1250,7320,1250,7325,1241xm7312,1169l7177,1169,7253,1176,7309,1194,7330,1227,7333,1219,7337,1215,7337,1206,7322,1174,7312,1169xm7127,1132l7094,1133,7057,1135,6977,1141,7232,1141,7213,1137,7127,1132xm6692,475l6685,512,6677,560,6667,619,6654,690,6680,690,6681,682,6686,613,6689,545,6692,475xm6680,380l6649,380,6663,388,6676,402,6686,423,6692,453,6697,406,6686,382,6680,380xe" filled="true" fillcolor="#ffd8d8" stroked="false">
              <v:path arrowok="t"/>
              <v:fill type="solid"/>
            </v:shape>
            <v:rect style="position:absolute;left:3869;top:738;width:5222;height:1059" filled="false" stroked="true" strokeweight="1.5pt" strokecolor="#000000">
              <v:stroke dashstyle="solid"/>
            </v:rect>
            <v:rect style="position:absolute;left:3884;top:753;width:5192;height:1029" filled="true" fillcolor="#000000" stroked="false">
              <v:fill type="solid"/>
            </v:rect>
            <v:shape style="position:absolute;left:4065;top:339;width:2139;height:411" type="#_x0000_t202" filled="false" stroked="false">
              <v:textbox inset="0,0,0,0">
                <w:txbxContent>
                  <w:p>
                    <w:pPr>
                      <w:spacing w:line="409" w:lineRule="exact" w:before="1"/>
                      <w:ind w:left="0" w:right="0" w:firstLine="0"/>
                      <w:jc w:val="left"/>
                      <w:rPr>
                        <w:sz w:val="34"/>
                      </w:rPr>
                    </w:pPr>
                    <w:r>
                      <w:rPr>
                        <w:w w:val="105"/>
                        <w:sz w:val="34"/>
                      </w:rPr>
                      <w:t>Daniel</w:t>
                    </w:r>
                    <w:r>
                      <w:rPr>
                        <w:spacing w:val="-28"/>
                        <w:w w:val="105"/>
                        <w:sz w:val="34"/>
                      </w:rPr>
                      <w:t> </w:t>
                    </w:r>
                    <w:r>
                      <w:rPr>
                        <w:w w:val="105"/>
                        <w:sz w:val="34"/>
                      </w:rPr>
                      <w:t>Nolasco</w:t>
                    </w:r>
                  </w:p>
                </w:txbxContent>
              </v:textbox>
              <w10:wrap type="none"/>
            </v:shape>
            <v:shape style="position:absolute;left:6768;top:370;width:2293;height:475" type="#_x0000_t202" filled="false" stroked="false">
              <v:textbox inset="0,0,0,0">
                <w:txbxContent>
                  <w:p>
                    <w:pPr>
                      <w:spacing w:line="244" w:lineRule="auto" w:before="7"/>
                      <w:ind w:left="0" w:right="0" w:firstLine="0"/>
                      <w:jc w:val="left"/>
                      <w:rPr>
                        <w:sz w:val="19"/>
                      </w:rPr>
                    </w:pPr>
                    <w:r>
                      <w:rPr>
                        <w:w w:val="105"/>
                        <w:sz w:val="19"/>
                      </w:rPr>
                      <w:t>Firmado digitalmente por Daniel Nolasco Espino - DNI</w:t>
                    </w:r>
                  </w:p>
                </w:txbxContent>
              </v:textbox>
              <w10:wrap type="none"/>
            </v:shape>
            <w10:wrap type="topAndBottom"/>
          </v:group>
        </w:pict>
      </w:r>
    </w:p>
    <w:sectPr>
      <w:pgSz w:w="11910" w:h="16840"/>
      <w:pgMar w:top="1580" w:bottom="280" w:left="9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20" w:hanging="360"/>
      </w:pPr>
      <w:rPr>
        <w:rFonts w:hint="default" w:ascii="Symbol" w:hAnsi="Symbol" w:eastAsia="Symbol" w:cs="Symbol"/>
        <w:color w:val="0D0D0D"/>
        <w:w w:val="99"/>
        <w:sz w:val="20"/>
        <w:szCs w:val="20"/>
        <w:lang w:val="es-es" w:eastAsia="es-es" w:bidi="es-es"/>
      </w:rPr>
    </w:lvl>
    <w:lvl w:ilvl="1">
      <w:start w:val="0"/>
      <w:numFmt w:val="bullet"/>
      <w:lvlText w:val="•"/>
      <w:lvlJc w:val="left"/>
      <w:pPr>
        <w:ind w:left="1734" w:hanging="360"/>
      </w:pPr>
      <w:rPr>
        <w:rFonts w:hint="default"/>
        <w:lang w:val="es-es" w:eastAsia="es-es" w:bidi="es-es"/>
      </w:rPr>
    </w:lvl>
    <w:lvl w:ilvl="2">
      <w:start w:val="0"/>
      <w:numFmt w:val="bullet"/>
      <w:lvlText w:val="•"/>
      <w:lvlJc w:val="left"/>
      <w:pPr>
        <w:ind w:left="2649" w:hanging="360"/>
      </w:pPr>
      <w:rPr>
        <w:rFonts w:hint="default"/>
        <w:lang w:val="es-es" w:eastAsia="es-es" w:bidi="es-es"/>
      </w:rPr>
    </w:lvl>
    <w:lvl w:ilvl="3">
      <w:start w:val="0"/>
      <w:numFmt w:val="bullet"/>
      <w:lvlText w:val="•"/>
      <w:lvlJc w:val="left"/>
      <w:pPr>
        <w:ind w:left="3563" w:hanging="360"/>
      </w:pPr>
      <w:rPr>
        <w:rFonts w:hint="default"/>
        <w:lang w:val="es-es" w:eastAsia="es-es" w:bidi="es-es"/>
      </w:rPr>
    </w:lvl>
    <w:lvl w:ilvl="4">
      <w:start w:val="0"/>
      <w:numFmt w:val="bullet"/>
      <w:lvlText w:val="•"/>
      <w:lvlJc w:val="left"/>
      <w:pPr>
        <w:ind w:left="4478" w:hanging="360"/>
      </w:pPr>
      <w:rPr>
        <w:rFonts w:hint="default"/>
        <w:lang w:val="es-es" w:eastAsia="es-es" w:bidi="es-es"/>
      </w:rPr>
    </w:lvl>
    <w:lvl w:ilvl="5">
      <w:start w:val="0"/>
      <w:numFmt w:val="bullet"/>
      <w:lvlText w:val="•"/>
      <w:lvlJc w:val="left"/>
      <w:pPr>
        <w:ind w:left="5393" w:hanging="360"/>
      </w:pPr>
      <w:rPr>
        <w:rFonts w:hint="default"/>
        <w:lang w:val="es-es" w:eastAsia="es-es" w:bidi="es-es"/>
      </w:rPr>
    </w:lvl>
    <w:lvl w:ilvl="6">
      <w:start w:val="0"/>
      <w:numFmt w:val="bullet"/>
      <w:lvlText w:val="•"/>
      <w:lvlJc w:val="left"/>
      <w:pPr>
        <w:ind w:left="6307" w:hanging="360"/>
      </w:pPr>
      <w:rPr>
        <w:rFonts w:hint="default"/>
        <w:lang w:val="es-es" w:eastAsia="es-es" w:bidi="es-es"/>
      </w:rPr>
    </w:lvl>
    <w:lvl w:ilvl="7">
      <w:start w:val="0"/>
      <w:numFmt w:val="bullet"/>
      <w:lvlText w:val="•"/>
      <w:lvlJc w:val="left"/>
      <w:pPr>
        <w:ind w:left="7222" w:hanging="360"/>
      </w:pPr>
      <w:rPr>
        <w:rFonts w:hint="default"/>
        <w:lang w:val="es-es" w:eastAsia="es-es" w:bidi="es-es"/>
      </w:rPr>
    </w:lvl>
    <w:lvl w:ilvl="8">
      <w:start w:val="0"/>
      <w:numFmt w:val="bullet"/>
      <w:lvlText w:val="•"/>
      <w:lvlJc w:val="left"/>
      <w:pPr>
        <w:ind w:left="8137" w:hanging="360"/>
      </w:pPr>
      <w:rPr>
        <w:rFonts w:hint="default"/>
        <w:lang w:val="es-es" w:eastAsia="es-es" w:bidi="es-es"/>
      </w:rPr>
    </w:lvl>
  </w:abstractNum>
  <w:abstractNum w:abstractNumId="0">
    <w:multiLevelType w:val="hybridMultilevel"/>
    <w:lvl w:ilvl="0">
      <w:start w:val="1"/>
      <w:numFmt w:val="decimal"/>
      <w:lvlText w:val="%1."/>
      <w:lvlJc w:val="left"/>
      <w:pPr>
        <w:ind w:left="808" w:hanging="348"/>
        <w:jc w:val="left"/>
      </w:pPr>
      <w:rPr>
        <w:rFonts w:hint="default" w:ascii="Calibri" w:hAnsi="Calibri" w:eastAsia="Calibri" w:cs="Calibri"/>
        <w:b/>
        <w:bCs/>
        <w:color w:val="0D0D0D"/>
        <w:spacing w:val="-3"/>
        <w:w w:val="100"/>
        <w:sz w:val="24"/>
        <w:szCs w:val="24"/>
        <w:lang w:val="es-es" w:eastAsia="es-es" w:bidi="es-es"/>
      </w:rPr>
    </w:lvl>
    <w:lvl w:ilvl="1">
      <w:start w:val="0"/>
      <w:numFmt w:val="bullet"/>
      <w:lvlText w:val="•"/>
      <w:lvlJc w:val="left"/>
      <w:pPr>
        <w:ind w:left="1716" w:hanging="348"/>
      </w:pPr>
      <w:rPr>
        <w:rFonts w:hint="default"/>
        <w:lang w:val="es-es" w:eastAsia="es-es" w:bidi="es-es"/>
      </w:rPr>
    </w:lvl>
    <w:lvl w:ilvl="2">
      <w:start w:val="0"/>
      <w:numFmt w:val="bullet"/>
      <w:lvlText w:val="•"/>
      <w:lvlJc w:val="left"/>
      <w:pPr>
        <w:ind w:left="2633" w:hanging="348"/>
      </w:pPr>
      <w:rPr>
        <w:rFonts w:hint="default"/>
        <w:lang w:val="es-es" w:eastAsia="es-es" w:bidi="es-es"/>
      </w:rPr>
    </w:lvl>
    <w:lvl w:ilvl="3">
      <w:start w:val="0"/>
      <w:numFmt w:val="bullet"/>
      <w:lvlText w:val="•"/>
      <w:lvlJc w:val="left"/>
      <w:pPr>
        <w:ind w:left="3549" w:hanging="348"/>
      </w:pPr>
      <w:rPr>
        <w:rFonts w:hint="default"/>
        <w:lang w:val="es-es" w:eastAsia="es-es" w:bidi="es-es"/>
      </w:rPr>
    </w:lvl>
    <w:lvl w:ilvl="4">
      <w:start w:val="0"/>
      <w:numFmt w:val="bullet"/>
      <w:lvlText w:val="•"/>
      <w:lvlJc w:val="left"/>
      <w:pPr>
        <w:ind w:left="4466" w:hanging="348"/>
      </w:pPr>
      <w:rPr>
        <w:rFonts w:hint="default"/>
        <w:lang w:val="es-es" w:eastAsia="es-es" w:bidi="es-es"/>
      </w:rPr>
    </w:lvl>
    <w:lvl w:ilvl="5">
      <w:start w:val="0"/>
      <w:numFmt w:val="bullet"/>
      <w:lvlText w:val="•"/>
      <w:lvlJc w:val="left"/>
      <w:pPr>
        <w:ind w:left="5383" w:hanging="348"/>
      </w:pPr>
      <w:rPr>
        <w:rFonts w:hint="default"/>
        <w:lang w:val="es-es" w:eastAsia="es-es" w:bidi="es-es"/>
      </w:rPr>
    </w:lvl>
    <w:lvl w:ilvl="6">
      <w:start w:val="0"/>
      <w:numFmt w:val="bullet"/>
      <w:lvlText w:val="•"/>
      <w:lvlJc w:val="left"/>
      <w:pPr>
        <w:ind w:left="6299" w:hanging="348"/>
      </w:pPr>
      <w:rPr>
        <w:rFonts w:hint="default"/>
        <w:lang w:val="es-es" w:eastAsia="es-es" w:bidi="es-es"/>
      </w:rPr>
    </w:lvl>
    <w:lvl w:ilvl="7">
      <w:start w:val="0"/>
      <w:numFmt w:val="bullet"/>
      <w:lvlText w:val="•"/>
      <w:lvlJc w:val="left"/>
      <w:pPr>
        <w:ind w:left="7216" w:hanging="348"/>
      </w:pPr>
      <w:rPr>
        <w:rFonts w:hint="default"/>
        <w:lang w:val="es-es" w:eastAsia="es-es" w:bidi="es-es"/>
      </w:rPr>
    </w:lvl>
    <w:lvl w:ilvl="8">
      <w:start w:val="0"/>
      <w:numFmt w:val="bullet"/>
      <w:lvlText w:val="•"/>
      <w:lvlJc w:val="left"/>
      <w:pPr>
        <w:ind w:left="8133" w:hanging="348"/>
      </w:pPr>
      <w:rPr>
        <w:rFonts w:hint="default"/>
        <w:lang w:val="es-es" w:eastAsia="es-es" w:bidi="es-e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4"/>
      <w:szCs w:val="24"/>
      <w:lang w:val="es-es" w:eastAsia="es-es" w:bidi="es-es"/>
    </w:rPr>
  </w:style>
  <w:style w:styleId="Heading1" w:type="paragraph">
    <w:name w:val="Heading 1"/>
    <w:basedOn w:val="Normal"/>
    <w:uiPriority w:val="1"/>
    <w:qFormat/>
    <w:pPr>
      <w:ind w:left="100" w:hanging="349"/>
      <w:outlineLvl w:val="1"/>
    </w:pPr>
    <w:rPr>
      <w:rFonts w:ascii="Calibri" w:hAnsi="Calibri" w:eastAsia="Calibri" w:cs="Calibri"/>
      <w:b/>
      <w:bCs/>
      <w:sz w:val="24"/>
      <w:szCs w:val="24"/>
      <w:lang w:val="es-es" w:eastAsia="es-es" w:bidi="es-es"/>
    </w:rPr>
  </w:style>
  <w:style w:styleId="ListParagraph" w:type="paragraph">
    <w:name w:val="List Paragraph"/>
    <w:basedOn w:val="Normal"/>
    <w:uiPriority w:val="1"/>
    <w:qFormat/>
    <w:pPr>
      <w:ind w:left="820" w:hanging="361"/>
    </w:pPr>
    <w:rPr>
      <w:rFonts w:ascii="Calibri" w:hAnsi="Calibri" w:eastAsia="Calibri" w:cs="Calibri"/>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Anibal</dc:creator>
  <dc:title>Sr</dc:title>
  <dcterms:created xsi:type="dcterms:W3CDTF">2026-04-14T11:27:09Z</dcterms:created>
  <dcterms:modified xsi:type="dcterms:W3CDTF">2026-04-14T11:27:09Z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para Microsoft 365</vt:lpwstr>
  </property>
  <property fmtid="{D5CDD505-2E9C-101B-9397-08002B2CF9AE}" pid="4" name="LastSaved">
    <vt:filetime>2026-04-14T00:00:00Z</vt:filetime>
  </property>
</Properties>
</file>