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320" w:right="0" w:firstLine="0"/>
        <w:jc w:val="left"/>
        <w:rPr>
          <w:sz w:val="24"/>
        </w:rPr>
      </w:pPr>
      <w:r>
        <w:rPr>
          <w:sz w:val="24"/>
        </w:rPr>
        <w:t>A) INVERSIÓN POR HABITANTE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spacing w:line="208" w:lineRule="auto"/>
        <w:ind w:left="1520" w:right="738"/>
        <w:jc w:val="both"/>
      </w:pPr>
      <w:r>
        <w:rPr/>
        <w:t>INVERSIÓN POR HABITANTE: Para las entidades territoriales y sus organismos autónomos, este índice distribuye la totalidad del gasto presupuestario por operaciones de capital realizado en el ejercicio entre el número de habitantes de la entidad</w:t>
      </w:r>
    </w:p>
    <w:p>
      <w:pPr>
        <w:pStyle w:val="BodyText"/>
        <w:spacing w:before="193"/>
        <w:ind w:left="1520"/>
        <w:jc w:val="both"/>
      </w:pPr>
      <w:r>
        <w:rPr/>
        <w:t>FÓRMULA: Obligaciones reconocidas netas (Capítulos 6 y 7) / Número de habitantes</w:t>
      </w:r>
    </w:p>
    <w:p>
      <w:pPr>
        <w:pStyle w:val="BodyText"/>
        <w:spacing w:after="1"/>
        <w:rPr>
          <w:sz w:val="24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0"/>
        <w:gridCol w:w="2000"/>
        <w:gridCol w:w="2000"/>
        <w:gridCol w:w="2100"/>
      </w:tblGrid>
      <w:tr>
        <w:trPr>
          <w:trHeight w:val="455" w:hRule="atLeast"/>
        </w:trPr>
        <w:tc>
          <w:tcPr>
            <w:tcW w:w="4900" w:type="dxa"/>
            <w:tcBorders>
              <w:righ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1954" w:right="2184"/>
              <w:jc w:val="center"/>
              <w:rPr>
                <w:sz w:val="20"/>
              </w:rPr>
            </w:pPr>
            <w:r>
              <w:rPr>
                <w:sz w:val="20"/>
              </w:rPr>
              <w:t>Capítulo</w:t>
            </w:r>
          </w:p>
        </w:tc>
        <w:tc>
          <w:tcPr>
            <w:tcW w:w="20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Obligaciones Netas</w:t>
            </w:r>
          </w:p>
        </w:tc>
        <w:tc>
          <w:tcPr>
            <w:tcW w:w="20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Habitantes</w:t>
            </w:r>
          </w:p>
        </w:tc>
        <w:tc>
          <w:tcPr>
            <w:tcW w:w="2100" w:type="dxa"/>
            <w:tcBorders>
              <w:lef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224"/>
              <w:jc w:val="left"/>
              <w:rPr>
                <w:sz w:val="20"/>
              </w:rPr>
            </w:pPr>
            <w:r>
              <w:rPr>
                <w:sz w:val="20"/>
              </w:rPr>
              <w:t>Gasto por Habitante</w:t>
            </w:r>
          </w:p>
        </w:tc>
      </w:tr>
      <w:tr>
        <w:trPr>
          <w:trHeight w:val="420" w:hRule="atLeast"/>
        </w:trPr>
        <w:tc>
          <w:tcPr>
            <w:tcW w:w="4900" w:type="dxa"/>
            <w:tcBorders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0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6 - INVERSIONES REALES</w:t>
            </w:r>
          </w:p>
        </w:tc>
        <w:tc>
          <w:tcPr>
            <w:tcW w:w="2000" w:type="dxa"/>
            <w:tcBorders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0"/>
              <w:ind w:right="9"/>
              <w:rPr>
                <w:sz w:val="20"/>
              </w:rPr>
            </w:pPr>
            <w:r>
              <w:rPr>
                <w:sz w:val="20"/>
              </w:rPr>
              <w:t>5.195.952,49</w:t>
            </w:r>
          </w:p>
        </w:tc>
        <w:tc>
          <w:tcPr>
            <w:tcW w:w="2000" w:type="dxa"/>
            <w:tcBorders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0"/>
              <w:ind w:right="9"/>
              <w:rPr>
                <w:sz w:val="20"/>
              </w:rPr>
            </w:pPr>
            <w:r>
              <w:rPr>
                <w:sz w:val="20"/>
              </w:rPr>
              <w:t>20.000</w:t>
            </w:r>
          </w:p>
        </w:tc>
        <w:tc>
          <w:tcPr>
            <w:tcW w:w="2100" w:type="dxa"/>
            <w:tcBorders>
              <w:left w:val="single" w:sz="8" w:space="0" w:color="0000FF"/>
              <w:bottom w:val="nil"/>
            </w:tcBorders>
          </w:tcPr>
          <w:p>
            <w:pPr>
              <w:pStyle w:val="TableParagraph"/>
              <w:spacing w:before="150"/>
              <w:ind w:right="95"/>
              <w:rPr>
                <w:sz w:val="20"/>
              </w:rPr>
            </w:pPr>
            <w:r>
              <w:rPr>
                <w:sz w:val="20"/>
              </w:rPr>
              <w:t>259,80 €</w:t>
            </w:r>
          </w:p>
        </w:tc>
      </w:tr>
      <w:tr>
        <w:trPr>
          <w:trHeight w:val="2634" w:hRule="atLeast"/>
        </w:trPr>
        <w:tc>
          <w:tcPr>
            <w:tcW w:w="4900" w:type="dxa"/>
            <w:tcBorders>
              <w:top w:val="nil"/>
              <w:right w:val="single" w:sz="8" w:space="0" w:color="0000FF"/>
            </w:tcBorders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5.195.952,49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20.000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259,80 €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pict>
          <v:group style="position:absolute;margin-left:79pt;margin-top:15.001953pt;width:227pt;height:232pt;mso-position-horizontal-relative:page;mso-position-vertical-relative:paragraph;z-index:-251658240;mso-wrap-distance-left:0;mso-wrap-distance-right:0" coordorigin="1580,300" coordsize="4540,4640">
            <v:shape style="position:absolute;left:1600;top:320;width:4500;height:4600" type="#_x0000_t75" stroked="false">
              <v:imagedata r:id="rId5" o:title=""/>
            </v:shape>
            <v:rect style="position:absolute;left:1590;top:310;width:4520;height:4620" filled="false" stroked="true" strokeweight="1pt" strokecolor="#000000">
              <v:stroke dashstyle="solid"/>
            </v:rect>
            <w10:wrap type="topAndBottom"/>
          </v:group>
        </w:pict>
      </w:r>
      <w:r>
        <w:rPr/>
        <w:pict>
          <v:group style="position:absolute;margin-left:314pt;margin-top:15.001953pt;width:227pt;height:232pt;mso-position-horizontal-relative:page;mso-position-vertical-relative:paragraph;z-index:-251657216;mso-wrap-distance-left:0;mso-wrap-distance-right:0" coordorigin="6280,300" coordsize="4540,4640">
            <v:shape style="position:absolute;left:6300;top:320;width:4500;height:4600" type="#_x0000_t75" stroked="false">
              <v:imagedata r:id="rId6" o:title=""/>
            </v:shape>
            <v:rect style="position:absolute;left:6290;top:310;width:4520;height:4620" filled="false" stroked="true" strokeweight="1pt" strokecolor="#000000">
              <v:stroke dashstyle="solid"/>
            </v:rect>
            <w10:wrap type="topAndBottom"/>
          </v:group>
        </w:pict>
      </w:r>
    </w:p>
    <w:p>
      <w:pPr>
        <w:spacing w:before="124"/>
        <w:ind w:left="5720" w:right="0" w:firstLine="0"/>
        <w:jc w:val="left"/>
        <w:rPr>
          <w:sz w:val="20"/>
        </w:rPr>
      </w:pPr>
      <w:r>
        <w:rPr>
          <w:sz w:val="20"/>
        </w:rPr>
        <w:t>* -&gt; Aporte relativo de cada detalle al valor total del indicador</w:t>
      </w:r>
    </w:p>
    <w:sectPr>
      <w:type w:val="continuous"/>
      <w:pgSz w:w="11900" w:h="16840"/>
      <w:pgMar w:top="1140" w:bottom="280" w:left="4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0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2026-04-22T09:49:02Z</dcterms:created>
  <dcterms:modified xsi:type="dcterms:W3CDTF">2026-04-22T09:49:02Z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</Properties>
</file>